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after="156" w:afterLines="50"/>
        <w:jc w:val="center"/>
        <w:rPr>
          <w:rFonts w:ascii="黑体" w:hAnsi="黑体" w:eastAsia="黑体" w:cs="Times New Roman"/>
          <w:b/>
          <w:sz w:val="30"/>
          <w:szCs w:val="30"/>
        </w:rPr>
      </w:pPr>
      <w:r>
        <w:rPr>
          <w:rFonts w:hint="eastAsia" w:ascii="黑体" w:hAnsi="黑体" w:eastAsia="黑体" w:cs="Times New Roman"/>
          <w:b/>
          <w:sz w:val="30"/>
          <w:szCs w:val="30"/>
        </w:rPr>
        <w:t>绿色智造贷贷款利息补贴、</w:t>
      </w:r>
      <w:bookmarkStart w:id="0" w:name="_Hlk103372409"/>
      <w:r>
        <w:rPr>
          <w:rFonts w:hint="eastAsia" w:ascii="黑体" w:hAnsi="黑体" w:eastAsia="黑体" w:cs="Times New Roman"/>
          <w:b/>
          <w:sz w:val="30"/>
          <w:szCs w:val="30"/>
        </w:rPr>
        <w:t>先进制造贷贷款贴息</w:t>
      </w:r>
      <w:bookmarkEnd w:id="0"/>
    </w:p>
    <w:p>
      <w:pPr>
        <w:spacing w:before="156" w:beforeLines="50" w:after="156" w:afterLines="50"/>
        <w:jc w:val="center"/>
        <w:rPr>
          <w:rFonts w:ascii="黑体" w:hAnsi="黑体" w:eastAsia="黑体" w:cs="Times New Roman"/>
          <w:b/>
          <w:sz w:val="30"/>
          <w:szCs w:val="30"/>
        </w:rPr>
      </w:pPr>
      <w:r>
        <w:rPr>
          <w:rFonts w:hint="eastAsia" w:ascii="黑体" w:hAnsi="黑体" w:eastAsia="黑体" w:cs="Times New Roman"/>
          <w:b/>
          <w:sz w:val="30"/>
          <w:szCs w:val="30"/>
        </w:rPr>
        <w:t>操作指南（企业）</w:t>
      </w:r>
    </w:p>
    <w:p>
      <w:pPr>
        <w:pStyle w:val="2"/>
        <w:numPr>
          <w:ilvl w:val="0"/>
          <w:numId w:val="1"/>
        </w:numPr>
        <w:spacing w:before="156" w:beforeLines="50" w:after="156" w:afterLines="50"/>
        <w:rPr>
          <w:rFonts w:cs="Arial" w:asciiTheme="majorEastAsia" w:hAnsiTheme="majorEastAsia" w:eastAsiaTheme="majorEastAsia"/>
          <w:sz w:val="24"/>
          <w:szCs w:val="24"/>
        </w:rPr>
      </w:pPr>
      <w:r>
        <w:rPr>
          <w:rFonts w:hint="eastAsia" w:cs="Arial" w:asciiTheme="majorEastAsia" w:hAnsiTheme="majorEastAsia" w:eastAsiaTheme="majorEastAsia"/>
          <w:sz w:val="24"/>
          <w:szCs w:val="24"/>
        </w:rPr>
        <w:t>登录</w:t>
      </w:r>
    </w:p>
    <w:p>
      <w:pPr>
        <w:spacing w:before="156" w:beforeLines="50" w:after="156" w:afterLines="50"/>
        <w:rPr>
          <w:rFonts w:cs="微软雅黑" w:asciiTheme="majorEastAsia" w:hAnsiTheme="majorEastAsia" w:eastAsiaTheme="majorEastAsia"/>
          <w:sz w:val="24"/>
        </w:rPr>
      </w:pPr>
      <w:r>
        <w:rPr>
          <w:rFonts w:hint="eastAsia" w:cs="微软雅黑" w:asciiTheme="majorEastAsia" w:hAnsiTheme="majorEastAsia" w:eastAsiaTheme="majorEastAsia"/>
          <w:sz w:val="24"/>
        </w:rPr>
        <w:t>1、登录</w:t>
      </w:r>
    </w:p>
    <w:p>
      <w:pPr>
        <w:spacing w:before="156" w:beforeLines="50" w:after="156" w:afterLines="50"/>
        <w:rPr>
          <w:rStyle w:val="11"/>
          <w:rFonts w:asciiTheme="minorEastAsia" w:hAnsiTheme="minorEastAsia"/>
          <w:color w:val="auto"/>
          <w:sz w:val="24"/>
          <w:shd w:val="clear" w:color="auto" w:fill="FFFFFF"/>
        </w:rPr>
      </w:pPr>
      <w:r>
        <w:rPr>
          <w:rFonts w:hint="eastAsia" w:asciiTheme="majorEastAsia" w:hAnsiTheme="majorEastAsia" w:eastAsiaTheme="majorEastAsia"/>
          <w:sz w:val="24"/>
          <w:szCs w:val="24"/>
        </w:rPr>
        <w:t>企业登陆：</w:t>
      </w:r>
      <w:r>
        <w:rPr>
          <w:rStyle w:val="11"/>
          <w:rFonts w:hint="eastAsia" w:asciiTheme="minorEastAsia" w:hAnsiTheme="minorEastAsia"/>
          <w:color w:val="auto"/>
          <w:sz w:val="24"/>
          <w:shd w:val="clear" w:color="auto" w:fill="FFFFFF"/>
        </w:rPr>
        <w:t>http://sme.sipac.gov.cn</w:t>
      </w:r>
    </w:p>
    <w:p>
      <w:pPr>
        <w:spacing w:before="156" w:beforeLines="50" w:after="156" w:afterLines="50"/>
        <w:jc w:val="center"/>
        <w:rPr>
          <w:rFonts w:cs="微软雅黑" w:asciiTheme="majorEastAsia" w:hAnsiTheme="majorEastAsia" w:eastAsiaTheme="majorEastAsia"/>
          <w:sz w:val="24"/>
          <w:szCs w:val="24"/>
        </w:rPr>
      </w:pPr>
      <w:r>
        <w:drawing>
          <wp:inline distT="0" distB="0" distL="0" distR="0">
            <wp:extent cx="5274310" cy="2419985"/>
            <wp:effectExtent l="0" t="0" r="2540" b="0"/>
            <wp:docPr id="1" name="图片 1" descr="图形用户界面, 应用程序, 网站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形用户界面, 应用程序, 网站&#10;&#10;描述已自动生成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19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1"/>
        </w:numPr>
        <w:spacing w:before="156" w:beforeLines="50" w:after="156" w:afterLines="50"/>
        <w:rPr>
          <w:rFonts w:cs="Arial" w:asciiTheme="majorEastAsia" w:hAnsiTheme="majorEastAsia" w:eastAsiaTheme="majorEastAsia"/>
          <w:sz w:val="24"/>
          <w:szCs w:val="24"/>
        </w:rPr>
      </w:pPr>
      <w:r>
        <w:rPr>
          <w:rFonts w:hint="eastAsia" w:cs="Arial" w:asciiTheme="majorEastAsia" w:hAnsiTheme="majorEastAsia" w:eastAsiaTheme="majorEastAsia"/>
          <w:sz w:val="24"/>
          <w:szCs w:val="24"/>
        </w:rPr>
        <w:t>功能说明</w:t>
      </w:r>
    </w:p>
    <w:p>
      <w:pPr>
        <w:pStyle w:val="3"/>
        <w:rPr>
          <w:rFonts w:cs="Open Sans" w:asciiTheme="majorEastAsia" w:hAnsiTheme="majorEastAsia" w:eastAsiaTheme="majorEastAsia"/>
          <w:sz w:val="24"/>
          <w:szCs w:val="24"/>
        </w:rPr>
      </w:pPr>
      <w:r>
        <w:rPr>
          <w:rFonts w:hint="eastAsia" w:cs="Open Sans" w:asciiTheme="majorEastAsia" w:hAnsiTheme="majorEastAsia" w:eastAsiaTheme="majorEastAsia"/>
          <w:sz w:val="24"/>
          <w:szCs w:val="24"/>
          <w:lang w:val="en-US" w:eastAsia="zh-CN"/>
        </w:rPr>
        <w:t>1</w:t>
      </w:r>
      <w:r>
        <w:rPr>
          <w:rFonts w:hint="eastAsia" w:cs="Open Sans" w:asciiTheme="majorEastAsia" w:hAnsiTheme="majorEastAsia" w:eastAsiaTheme="majorEastAsia"/>
          <w:sz w:val="24"/>
          <w:szCs w:val="24"/>
        </w:rPr>
        <w:t>、“绿色智造贷”项目贷款利息补贴</w:t>
      </w:r>
    </w:p>
    <w:p>
      <w:pPr>
        <w:spacing w:before="156" w:beforeLines="50" w:after="156" w:afterLines="50"/>
        <w:ind w:firstLine="420"/>
        <w:rPr>
          <w:rFonts w:cs="Open Sans" w:asciiTheme="majorEastAsia" w:hAnsiTheme="majorEastAsia" w:eastAsiaTheme="majorEastAsia"/>
          <w:color w:val="000000"/>
          <w:sz w:val="24"/>
          <w:szCs w:val="24"/>
        </w:rPr>
      </w:pPr>
      <w:r>
        <w:rPr>
          <w:rFonts w:hint="eastAsia" w:cs="Open Sans" w:asciiTheme="majorEastAsia" w:hAnsiTheme="majorEastAsia" w:eastAsiaTheme="majorEastAsia"/>
          <w:color w:val="000000"/>
          <w:sz w:val="24"/>
          <w:szCs w:val="24"/>
        </w:rPr>
        <w:t>申请流程：选择财政专项资金平台-绿色智造贷项目-“绿色智造贷”项目贷款利息补贴-申报。</w:t>
      </w:r>
    </w:p>
    <w:p>
      <w:pPr>
        <w:spacing w:before="156" w:beforeLines="50" w:after="156" w:afterLines="50"/>
        <w:ind w:firstLine="420"/>
        <w:rPr>
          <w:rFonts w:cs="Open Sans" w:asciiTheme="majorEastAsia" w:hAnsiTheme="majorEastAsia" w:eastAsiaTheme="majorEastAsia"/>
          <w:color w:val="000000"/>
          <w:sz w:val="24"/>
          <w:szCs w:val="24"/>
        </w:rPr>
      </w:pPr>
      <w:r>
        <w:rPr>
          <w:rFonts w:hint="eastAsia" w:cs="Open Sans" w:asciiTheme="majorEastAsia" w:hAnsiTheme="majorEastAsia" w:eastAsiaTheme="majorEastAsia"/>
          <w:color w:val="000000"/>
          <w:sz w:val="24"/>
          <w:szCs w:val="24"/>
        </w:rPr>
        <w:t>进入用户空间-财政专项资金平台：</w:t>
      </w:r>
    </w:p>
    <w:p>
      <w:pPr>
        <w:spacing w:before="156" w:beforeLines="50" w:after="156" w:afterLines="50"/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364740"/>
            <wp:effectExtent l="9525" t="9525" r="19685" b="1333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647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20" w:firstLineChars="0"/>
        <w:rPr>
          <w:sz w:val="24"/>
          <w:szCs w:val="24"/>
        </w:rPr>
      </w:pPr>
      <w:r>
        <w:rPr>
          <w:rFonts w:hint="eastAsia"/>
          <w:sz w:val="24"/>
          <w:szCs w:val="24"/>
        </w:rPr>
        <w:t>选择资金申报：</w:t>
      </w:r>
    </w:p>
    <w:p>
      <w:pPr>
        <w:spacing w:before="156" w:beforeLines="50" w:after="156" w:afterLines="50" w:line="360" w:lineRule="auto"/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364740"/>
            <wp:effectExtent l="9525" t="9525" r="19685" b="13335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647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 w:line="360" w:lineRule="auto"/>
        <w:ind w:firstLine="420" w:firstLineChars="0"/>
      </w:pPr>
      <w:r>
        <w:rPr>
          <w:rFonts w:hint="eastAsia"/>
          <w:sz w:val="24"/>
          <w:szCs w:val="24"/>
        </w:rPr>
        <w:t>找到绿色智造贷项目：</w:t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6690" cy="2364740"/>
            <wp:effectExtent l="9525" t="9525" r="19685" b="13335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647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20" w:firstLineChars="0"/>
        <w:rPr>
          <w:rFonts w:cs="Arial" w:asciiTheme="majorEastAsia" w:hAnsiTheme="majorEastAsia" w:eastAsiaTheme="majorEastAsia"/>
          <w:sz w:val="24"/>
          <w:szCs w:val="24"/>
        </w:rPr>
      </w:pPr>
      <w:r>
        <w:rPr>
          <w:rFonts w:hint="eastAsia"/>
          <w:sz w:val="24"/>
          <w:szCs w:val="24"/>
        </w:rPr>
        <w:t>选择“绿色智造贷”项目贷款利息补贴，进行申报，填写信用承诺、维护</w:t>
      </w:r>
      <w:r>
        <w:rPr>
          <w:rFonts w:hint="eastAsia"/>
          <w:sz w:val="24"/>
          <w:szCs w:val="24"/>
          <w:lang w:val="en-US" w:eastAsia="zh-CN"/>
        </w:rPr>
        <w:t>企业财务信息、</w:t>
      </w:r>
      <w:r>
        <w:rPr>
          <w:rFonts w:hint="eastAsia"/>
          <w:sz w:val="24"/>
          <w:szCs w:val="24"/>
        </w:rPr>
        <w:t>贷款合同及利息信息，并上传相关附件，确认无误后提交，</w:t>
      </w:r>
      <w:r>
        <w:rPr>
          <w:rFonts w:hint="eastAsia" w:cs="Arial" w:asciiTheme="majorEastAsia" w:hAnsiTheme="majorEastAsia" w:eastAsiaTheme="majorEastAsia"/>
          <w:sz w:val="24"/>
          <w:szCs w:val="24"/>
        </w:rPr>
        <w:t>需要将符合要求的贷款合同维护到同一笔申请单中一起提交。未经后道任何一步审核的申请单可以自主撤回。</w:t>
      </w:r>
    </w:p>
    <w:p>
      <w:pPr>
        <w:spacing w:before="156" w:beforeLines="50" w:after="156" w:afterLines="50"/>
        <w:rPr>
          <w:rFonts w:cs="Arial" w:asciiTheme="majorEastAsia" w:hAnsiTheme="majorEastAsia" w:eastAsiaTheme="majorEastAsia"/>
          <w:sz w:val="24"/>
          <w:szCs w:val="24"/>
        </w:rPr>
      </w:pPr>
      <w:r>
        <w:drawing>
          <wp:inline distT="0" distB="0" distL="114300" distR="114300">
            <wp:extent cx="5267325" cy="2192655"/>
            <wp:effectExtent l="9525" t="9525" r="19050" b="20320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19265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6690" cy="2364740"/>
            <wp:effectExtent l="9525" t="9525" r="19685" b="13335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647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 w:line="360" w:lineRule="auto"/>
      </w:pPr>
      <w:r>
        <w:drawing>
          <wp:inline distT="0" distB="0" distL="114300" distR="114300">
            <wp:extent cx="5264150" cy="2103755"/>
            <wp:effectExtent l="9525" t="9525" r="9525" b="20320"/>
            <wp:docPr id="1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10375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3"/>
        <w:rPr>
          <w:rFonts w:hint="eastAsia" w:cs="Arial" w:asciiTheme="majorEastAsia" w:hAnsiTheme="majorEastAsia" w:eastAsiaTheme="majorEastAsia"/>
          <w:sz w:val="24"/>
        </w:rPr>
      </w:pPr>
      <w:r>
        <w:rPr>
          <w:rFonts w:hint="eastAsia" w:cs="Arial" w:asciiTheme="majorEastAsia" w:hAnsiTheme="majorEastAsia" w:eastAsiaTheme="majorEastAsia"/>
          <w:sz w:val="24"/>
          <w:lang w:val="en-US" w:eastAsia="zh-CN"/>
        </w:rPr>
        <w:t>2</w:t>
      </w:r>
      <w:r>
        <w:rPr>
          <w:rFonts w:hint="eastAsia" w:cs="Arial" w:asciiTheme="majorEastAsia" w:hAnsiTheme="majorEastAsia" w:eastAsiaTheme="majorEastAsia"/>
          <w:sz w:val="24"/>
        </w:rPr>
        <w:t>、先进制造贷贷款贴息</w:t>
      </w:r>
    </w:p>
    <w:p>
      <w:pPr>
        <w:spacing w:before="156" w:beforeLines="50" w:after="156" w:afterLines="50"/>
        <w:ind w:firstLine="420"/>
        <w:rPr>
          <w:rFonts w:cs="Open Sans" w:asciiTheme="majorEastAsia" w:hAnsiTheme="majorEastAsia" w:eastAsiaTheme="majorEastAsia"/>
          <w:color w:val="000000"/>
          <w:sz w:val="24"/>
          <w:szCs w:val="24"/>
        </w:rPr>
      </w:pPr>
      <w:r>
        <w:rPr>
          <w:rFonts w:hint="eastAsia" w:cs="Open Sans" w:asciiTheme="majorEastAsia" w:hAnsiTheme="majorEastAsia" w:eastAsiaTheme="majorEastAsia"/>
          <w:color w:val="000000"/>
          <w:sz w:val="24"/>
          <w:szCs w:val="24"/>
        </w:rPr>
        <w:t>申请流程：选择财政专项资金平台-苏州工业园区制造业高质量发展专项引导资金-苏州工业园区先进制造贷贷款贴息-申报。</w:t>
      </w:r>
    </w:p>
    <w:p>
      <w:pPr>
        <w:ind w:firstLine="420"/>
        <w:rPr>
          <w:rFonts w:hint="eastAsia"/>
          <w:sz w:val="24"/>
          <w:szCs w:val="24"/>
        </w:rPr>
      </w:pPr>
      <w:bookmarkStart w:id="1" w:name="_GoBack"/>
      <w:bookmarkEnd w:id="1"/>
      <w:r>
        <w:rPr>
          <w:rFonts w:hint="eastAsia"/>
          <w:sz w:val="24"/>
          <w:szCs w:val="24"/>
        </w:rPr>
        <w:t>操作流程与绿色智造贷贷款贴息类似，请参见绿色智造贷贷款贴息。</w:t>
      </w:r>
    </w:p>
    <w:p>
      <w:pPr>
        <w:pStyle w:val="3"/>
        <w:rPr>
          <w:rFonts w:asciiTheme="majorEastAsia" w:hAnsiTheme="majorEastAsia" w:eastAsiaTheme="majorEastAsia"/>
          <w:sz w:val="24"/>
          <w:szCs w:val="24"/>
        </w:rPr>
      </w:pPr>
      <w:r>
        <w:rPr>
          <w:rFonts w:hint="eastAsia" w:cs="Arial" w:asciiTheme="majorEastAsia" w:hAnsiTheme="majorEastAsia" w:eastAsiaTheme="majorEastAsia"/>
          <w:sz w:val="24"/>
          <w:lang w:val="en-US" w:eastAsia="zh-CN"/>
        </w:rPr>
        <w:t>3</w:t>
      </w:r>
      <w:r>
        <w:rPr>
          <w:rFonts w:hint="eastAsia" w:cs="Arial" w:asciiTheme="majorEastAsia" w:hAnsiTheme="majorEastAsia" w:eastAsiaTheme="majorEastAsia"/>
          <w:sz w:val="24"/>
        </w:rPr>
        <w:t>、在线打印收据</w:t>
      </w:r>
    </w:p>
    <w:p>
      <w:pPr>
        <w:spacing w:before="156" w:beforeLines="50" w:after="156" w:afterLines="50"/>
        <w:ind w:firstLine="480" w:firstLineChars="20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Arial" w:asciiTheme="majorEastAsia" w:hAnsiTheme="majorEastAsia" w:eastAsiaTheme="majorEastAsia"/>
          <w:sz w:val="24"/>
          <w:szCs w:val="24"/>
        </w:rPr>
        <w:t>申请单审批通过后，收到确认打印收据的通知。</w:t>
      </w:r>
      <w:r>
        <w:rPr>
          <w:rFonts w:hint="eastAsia" w:cs="Arial" w:asciiTheme="majorEastAsia" w:hAnsiTheme="majorEastAsia" w:eastAsiaTheme="majorEastAsia"/>
          <w:sz w:val="24"/>
          <w:szCs w:val="24"/>
        </w:rPr>
        <w:t>企业可在对应的业务的申请单，</w:t>
      </w:r>
      <w:r>
        <w:rPr>
          <w:rFonts w:hint="eastAsia" w:cs="Arial" w:asciiTheme="majorEastAsia" w:hAnsiTheme="majorEastAsia" w:eastAsiaTheme="majorEastAsia"/>
          <w:sz w:val="24"/>
          <w:szCs w:val="24"/>
        </w:rPr>
        <w:t>点击确认收据后，可以调整收据和打印收据</w:t>
      </w:r>
      <w:r>
        <w:rPr>
          <w:rFonts w:hint="eastAsia" w:cs="仿宋" w:asciiTheme="majorEastAsia" w:hAnsiTheme="majorEastAsia" w:eastAsiaTheme="majorEastAsia"/>
          <w:sz w:val="24"/>
          <w:szCs w:val="24"/>
        </w:rPr>
        <w:t>。</w:t>
      </w:r>
    </w:p>
    <w:p>
      <w:pPr>
        <w:spacing w:before="156" w:beforeLines="50" w:after="156" w:afterLines="50"/>
        <w:rPr>
          <w:rFonts w:asciiTheme="majorEastAsia" w:hAnsiTheme="majorEastAsia" w:eastAsiaTheme="majorEastAsia"/>
          <w:sz w:val="24"/>
          <w:szCs w:val="24"/>
        </w:rPr>
      </w:pPr>
      <w:r>
        <w:rPr>
          <w:rFonts w:asciiTheme="majorEastAsia" w:hAnsiTheme="majorEastAsia" w:eastAsiaTheme="majorEastAsia"/>
          <w:sz w:val="24"/>
          <w:szCs w:val="24"/>
        </w:rPr>
        <w:drawing>
          <wp:inline distT="0" distB="0" distL="0" distR="0">
            <wp:extent cx="5200650" cy="1866900"/>
            <wp:effectExtent l="19050" t="19050" r="19050" b="1905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18669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80" w:firstLineChars="20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打印收据并加盖财务章或公章后，点击“上传收据”，并根据操作步骤上传并提交。</w:t>
      </w:r>
    </w:p>
    <w:p>
      <w:pPr>
        <w:spacing w:before="156" w:beforeLines="50" w:after="156" w:afterLines="50"/>
        <w:jc w:val="center"/>
        <w:rPr>
          <w:rFonts w:cs="微软雅黑" w:asciiTheme="majorEastAsia" w:hAnsiTheme="majorEastAsia" w:eastAsiaTheme="majorEastAsia"/>
          <w:sz w:val="24"/>
        </w:rPr>
      </w:pPr>
      <w:r>
        <w:drawing>
          <wp:inline distT="0" distB="0" distL="0" distR="0">
            <wp:extent cx="5274310" cy="1945005"/>
            <wp:effectExtent l="9525" t="9525" r="12065" b="1397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rcRect t="1498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500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20" w:firstLineChars="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使用手机扫描二维码：</w:t>
      </w:r>
    </w:p>
    <w:p>
      <w:pPr>
        <w:spacing w:before="120" w:after="120"/>
        <w:ind w:firstLine="240"/>
        <w:jc w:val="center"/>
        <w:rPr>
          <w:rFonts w:asciiTheme="minorEastAsia" w:hAnsiTheme="minorEastAsia" w:cstheme="minorEastAsia"/>
        </w:rPr>
      </w:pPr>
      <w:r>
        <w:rPr>
          <w:rFonts w:ascii="微软雅黑" w:hAnsi="微软雅黑" w:eastAsia="微软雅黑" w:cstheme="minorEastAsia"/>
        </w:rPr>
        <w:drawing>
          <wp:inline distT="0" distB="0" distL="0" distR="0">
            <wp:extent cx="2002790" cy="4339590"/>
            <wp:effectExtent l="0" t="0" r="3810" b="3810"/>
            <wp:docPr id="25" name="图片 25" descr="图片包含 文字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图片包含 文字&#10;&#10;描述已自动生成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004699" cy="4342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20" w:firstLineChars="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手机端收据拍照页面：</w:t>
      </w:r>
    </w:p>
    <w:p>
      <w:pPr>
        <w:spacing w:before="156" w:after="156"/>
        <w:ind w:firstLine="420"/>
        <w:jc w:val="center"/>
        <w:rPr>
          <w:rFonts w:ascii="微软雅黑" w:hAnsi="微软雅黑" w:eastAsia="微软雅黑" w:cstheme="minorEastAsia"/>
        </w:rPr>
      </w:pPr>
      <w:r>
        <w:rPr>
          <w:rFonts w:ascii="微软雅黑" w:hAnsi="微软雅黑" w:eastAsia="微软雅黑" w:cstheme="minorEastAsia"/>
        </w:rPr>
        <w:drawing>
          <wp:inline distT="0" distB="0" distL="114300" distR="114300">
            <wp:extent cx="2184400" cy="3518535"/>
            <wp:effectExtent l="12700" t="12700" r="12700" b="24765"/>
            <wp:docPr id="23" name="图片 23" descr="158190926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1581909260(1)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184400" cy="3518535"/>
                    </a:xfrm>
                    <a:prstGeom prst="rect">
                      <a:avLst/>
                    </a:prstGeom>
                    <a:noFill/>
                    <a:ln w="12700" cmpd="sng">
                      <a:solidFill>
                        <a:schemeClr val="accent1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  <w:t xml:space="preserve">  </w:t>
      </w:r>
      <w:r>
        <w:rPr>
          <w:rFonts w:ascii="微软雅黑" w:hAnsi="微软雅黑" w:eastAsia="微软雅黑" w:cstheme="minorEastAsia"/>
        </w:rPr>
        <w:drawing>
          <wp:inline distT="0" distB="0" distL="0" distR="0">
            <wp:extent cx="1623060" cy="3516630"/>
            <wp:effectExtent l="9525" t="9525" r="18415" b="1714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23286" cy="35172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20" w:firstLineChars="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请确保将拍照框与收据虚线裁剪框对齐。</w:t>
      </w:r>
    </w:p>
    <w:p>
      <w:pPr>
        <w:spacing w:before="156" w:beforeLines="50" w:after="156" w:afterLines="50"/>
        <w:ind w:firstLine="420" w:firstLineChars="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收据拍照完成后，请再次核对收据信息是否正确，且是否有加盖财务章或公章。信息核对无误后，确认提交即可。</w:t>
      </w:r>
    </w:p>
    <w:p>
      <w:pPr>
        <w:spacing w:before="120" w:after="120"/>
        <w:ind w:firstLine="420"/>
        <w:jc w:val="center"/>
      </w:pPr>
      <w:r>
        <w:drawing>
          <wp:inline distT="0" distB="0" distL="114300" distR="114300">
            <wp:extent cx="2212975" cy="3743960"/>
            <wp:effectExtent l="12700" t="12700" r="22225" b="15240"/>
            <wp:docPr id="33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1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19072" cy="3753707"/>
                    </a:xfrm>
                    <a:prstGeom prst="rect">
                      <a:avLst/>
                    </a:prstGeom>
                    <a:noFill/>
                    <a:ln w="12700" cmpd="sng">
                      <a:solidFill>
                        <a:schemeClr val="accent1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196465" cy="3742690"/>
            <wp:effectExtent l="12700" t="12700" r="13335" b="16510"/>
            <wp:docPr id="3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16"/>
                    <pic:cNvPicPr>
                      <a:picLocks noChangeAspect="1"/>
                    </pic:cNvPicPr>
                  </pic:nvPicPr>
                  <pic:blipFill>
                    <a:blip r:embed="rId17"/>
                    <a:srcRect l="901" r="901"/>
                    <a:stretch>
                      <a:fillRect/>
                    </a:stretch>
                  </pic:blipFill>
                  <pic:spPr>
                    <a:xfrm>
                      <a:off x="0" y="0"/>
                      <a:ext cx="2218817" cy="3781151"/>
                    </a:xfrm>
                    <a:prstGeom prst="rect">
                      <a:avLst/>
                    </a:prstGeom>
                    <a:noFill/>
                    <a:ln w="12700" cmpd="sng">
                      <a:solidFill>
                        <a:schemeClr val="accent1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firstLine="420" w:firstLineChars="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如需查看或下载已上传收据，请在电脑端查看。</w:t>
      </w:r>
    </w:p>
    <w:p>
      <w:pPr>
        <w:spacing w:before="120" w:after="120"/>
        <w:ind w:firstLine="420"/>
        <w:jc w:val="center"/>
      </w:pPr>
      <w:r>
        <w:drawing>
          <wp:inline distT="0" distB="0" distL="0" distR="0">
            <wp:extent cx="5274310" cy="2015490"/>
            <wp:effectExtent l="9525" t="9525" r="12065" b="196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8"/>
                    <a:srcRect t="1337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1549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rPr>
          <w:rFonts w:asciiTheme="majorEastAsia" w:hAnsiTheme="majorEastAsia" w:eastAsiaTheme="majorEastAsia"/>
          <w:sz w:val="24"/>
          <w:szCs w:val="24"/>
        </w:rPr>
      </w:pPr>
    </w:p>
    <w:p>
      <w:pPr>
        <w:pStyle w:val="2"/>
        <w:spacing w:before="156" w:beforeLines="50" w:after="156" w:afterLines="50"/>
        <w:rPr>
          <w:rFonts w:cs="Arial" w:asciiTheme="majorEastAsia" w:hAnsiTheme="majorEastAsia" w:eastAsiaTheme="majorEastAsia"/>
          <w:sz w:val="24"/>
          <w:szCs w:val="24"/>
        </w:rPr>
      </w:pPr>
      <w:r>
        <w:rPr>
          <w:rFonts w:hint="eastAsia" w:cs="Arial" w:asciiTheme="majorEastAsia" w:hAnsiTheme="majorEastAsia" w:eastAsiaTheme="majorEastAsia"/>
          <w:sz w:val="24"/>
          <w:szCs w:val="24"/>
        </w:rPr>
        <w:t>三、系统技术支持</w:t>
      </w:r>
    </w:p>
    <w:p>
      <w:pPr>
        <w:spacing w:before="156" w:beforeLines="50" w:after="156" w:afterLines="5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开发单位：苏州德融嘉信信用管理技术股份有限公司</w:t>
      </w:r>
    </w:p>
    <w:p>
      <w:pPr>
        <w:spacing w:before="156" w:beforeLines="50" w:after="156" w:afterLines="5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热线电话：400-8696-086</w:t>
      </w:r>
    </w:p>
    <w:p>
      <w:pPr>
        <w:spacing w:before="156" w:beforeLines="50" w:after="156" w:afterLines="5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微信号：s18913131676，或者扫描下方二维码</w:t>
      </w:r>
    </w:p>
    <w:p>
      <w:pPr>
        <w:spacing w:before="156" w:beforeLines="50" w:after="156" w:afterLines="50"/>
        <w:jc w:val="center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drawing>
          <wp:inline distT="0" distB="0" distL="0" distR="0">
            <wp:extent cx="1514475" cy="1419225"/>
            <wp:effectExtent l="0" t="0" r="9525" b="952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="156" w:beforeLines="50" w:after="156" w:afterLines="50"/>
        <w:ind w:left="420" w:leftChars="200"/>
        <w:rPr>
          <w:rFonts w:cs="仿宋" w:asciiTheme="majorEastAsia" w:hAnsiTheme="majorEastAsia" w:eastAsiaTheme="majorEastAsia"/>
          <w:sz w:val="24"/>
          <w:szCs w:val="24"/>
        </w:rPr>
      </w:pPr>
      <w:r>
        <w:rPr>
          <w:rFonts w:hint="eastAsia" w:cs="仿宋" w:asciiTheme="majorEastAsia" w:hAnsiTheme="majorEastAsia" w:eastAsiaTheme="majorEastAsia"/>
          <w:sz w:val="24"/>
          <w:szCs w:val="24"/>
        </w:rPr>
        <w:t>邮箱：techsoft@sipac.gov.cn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Open Sans">
    <w:panose1 w:val="020B0606030504020204"/>
    <w:charset w:val="00"/>
    <w:family w:val="swiss"/>
    <w:pitch w:val="default"/>
    <w:sig w:usb0="E00002EF" w:usb1="4000205B" w:usb2="00000028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45608F"/>
    <w:multiLevelType w:val="multilevel"/>
    <w:tmpl w:val="6845608F"/>
    <w:lvl w:ilvl="0" w:tentative="0">
      <w:start w:val="1"/>
      <w:numFmt w:val="japaneseCounting"/>
      <w:lvlText w:val="%1、"/>
      <w:lvlJc w:val="left"/>
      <w:pPr>
        <w:ind w:left="500" w:hanging="50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E1MGNlNDliNjNmMDk5MzAzZTIxMTAyMDYwNTIwZDMifQ=="/>
  </w:docVars>
  <w:rsids>
    <w:rsidRoot w:val="63CB4BA8"/>
    <w:rsid w:val="00053CDF"/>
    <w:rsid w:val="00060BED"/>
    <w:rsid w:val="00061D5A"/>
    <w:rsid w:val="000B3073"/>
    <w:rsid w:val="00111495"/>
    <w:rsid w:val="0015689A"/>
    <w:rsid w:val="00157989"/>
    <w:rsid w:val="00170115"/>
    <w:rsid w:val="002151C8"/>
    <w:rsid w:val="002B74E6"/>
    <w:rsid w:val="002E3453"/>
    <w:rsid w:val="002F75D9"/>
    <w:rsid w:val="00317A9D"/>
    <w:rsid w:val="00376613"/>
    <w:rsid w:val="003D6E58"/>
    <w:rsid w:val="004600EC"/>
    <w:rsid w:val="00461A34"/>
    <w:rsid w:val="00473D15"/>
    <w:rsid w:val="00486603"/>
    <w:rsid w:val="004A21F3"/>
    <w:rsid w:val="004B203C"/>
    <w:rsid w:val="004C0856"/>
    <w:rsid w:val="004D713D"/>
    <w:rsid w:val="004E4B73"/>
    <w:rsid w:val="004F2AA7"/>
    <w:rsid w:val="005353CF"/>
    <w:rsid w:val="00550E6B"/>
    <w:rsid w:val="006204BD"/>
    <w:rsid w:val="00685D98"/>
    <w:rsid w:val="00703C7A"/>
    <w:rsid w:val="00775FFC"/>
    <w:rsid w:val="00812AB6"/>
    <w:rsid w:val="00840796"/>
    <w:rsid w:val="00842397"/>
    <w:rsid w:val="00850E6D"/>
    <w:rsid w:val="00891C12"/>
    <w:rsid w:val="00892A65"/>
    <w:rsid w:val="008C149A"/>
    <w:rsid w:val="008F56BB"/>
    <w:rsid w:val="00920F8C"/>
    <w:rsid w:val="00943F09"/>
    <w:rsid w:val="009B78BF"/>
    <w:rsid w:val="009C5095"/>
    <w:rsid w:val="009E77CE"/>
    <w:rsid w:val="00A15187"/>
    <w:rsid w:val="00A95107"/>
    <w:rsid w:val="00AB03B8"/>
    <w:rsid w:val="00AD444C"/>
    <w:rsid w:val="00BA6A4A"/>
    <w:rsid w:val="00BB0B41"/>
    <w:rsid w:val="00BB0CC8"/>
    <w:rsid w:val="00CA0254"/>
    <w:rsid w:val="00CD6CF3"/>
    <w:rsid w:val="00D00C1B"/>
    <w:rsid w:val="00D639BD"/>
    <w:rsid w:val="00E736CD"/>
    <w:rsid w:val="00F143E6"/>
    <w:rsid w:val="00F37ED2"/>
    <w:rsid w:val="00F76A7D"/>
    <w:rsid w:val="00FD18F3"/>
    <w:rsid w:val="010D1EB8"/>
    <w:rsid w:val="02484421"/>
    <w:rsid w:val="03B74EEE"/>
    <w:rsid w:val="06D0390D"/>
    <w:rsid w:val="078E0475"/>
    <w:rsid w:val="080C0C36"/>
    <w:rsid w:val="0A0D10E0"/>
    <w:rsid w:val="0A344B1B"/>
    <w:rsid w:val="0DAF5139"/>
    <w:rsid w:val="10705869"/>
    <w:rsid w:val="11BA30C3"/>
    <w:rsid w:val="11D00F60"/>
    <w:rsid w:val="13221308"/>
    <w:rsid w:val="13E30CA5"/>
    <w:rsid w:val="1465338F"/>
    <w:rsid w:val="14987110"/>
    <w:rsid w:val="14D46119"/>
    <w:rsid w:val="151257B8"/>
    <w:rsid w:val="157D6B87"/>
    <w:rsid w:val="1A7F61E6"/>
    <w:rsid w:val="1C446404"/>
    <w:rsid w:val="1D81528D"/>
    <w:rsid w:val="1E2E0639"/>
    <w:rsid w:val="1EF122E7"/>
    <w:rsid w:val="1F1601E6"/>
    <w:rsid w:val="21190834"/>
    <w:rsid w:val="219C1218"/>
    <w:rsid w:val="21AC768B"/>
    <w:rsid w:val="24612715"/>
    <w:rsid w:val="2638294D"/>
    <w:rsid w:val="264E57A5"/>
    <w:rsid w:val="29944C3D"/>
    <w:rsid w:val="2B8178C2"/>
    <w:rsid w:val="2C2122E7"/>
    <w:rsid w:val="2C854B19"/>
    <w:rsid w:val="2DF726A8"/>
    <w:rsid w:val="2E0D459B"/>
    <w:rsid w:val="2E1135C3"/>
    <w:rsid w:val="2FC011EF"/>
    <w:rsid w:val="319E6F5C"/>
    <w:rsid w:val="31BC6F67"/>
    <w:rsid w:val="32012D7C"/>
    <w:rsid w:val="36B37BF0"/>
    <w:rsid w:val="380F2F1A"/>
    <w:rsid w:val="3BFD3AA3"/>
    <w:rsid w:val="42A25019"/>
    <w:rsid w:val="447112B2"/>
    <w:rsid w:val="44DC1CE3"/>
    <w:rsid w:val="4596272A"/>
    <w:rsid w:val="45CA0ADD"/>
    <w:rsid w:val="46D93BC9"/>
    <w:rsid w:val="47FC1586"/>
    <w:rsid w:val="49700DC9"/>
    <w:rsid w:val="49A150D2"/>
    <w:rsid w:val="4B045017"/>
    <w:rsid w:val="4B6247D0"/>
    <w:rsid w:val="4DAA5FC6"/>
    <w:rsid w:val="4E582B32"/>
    <w:rsid w:val="4F2747E0"/>
    <w:rsid w:val="4FDE284B"/>
    <w:rsid w:val="508F4347"/>
    <w:rsid w:val="50D10A82"/>
    <w:rsid w:val="50FA4123"/>
    <w:rsid w:val="515960E1"/>
    <w:rsid w:val="515E7CE7"/>
    <w:rsid w:val="5248709A"/>
    <w:rsid w:val="53425058"/>
    <w:rsid w:val="53D215E3"/>
    <w:rsid w:val="544E6EB9"/>
    <w:rsid w:val="54864057"/>
    <w:rsid w:val="569C3E48"/>
    <w:rsid w:val="58F8076C"/>
    <w:rsid w:val="59C16051"/>
    <w:rsid w:val="5C452194"/>
    <w:rsid w:val="5C7D7814"/>
    <w:rsid w:val="5D764C33"/>
    <w:rsid w:val="5DE94240"/>
    <w:rsid w:val="5E9341D1"/>
    <w:rsid w:val="608F60CF"/>
    <w:rsid w:val="63CB4BA8"/>
    <w:rsid w:val="63DB5CF6"/>
    <w:rsid w:val="666A6A20"/>
    <w:rsid w:val="66DB5DB6"/>
    <w:rsid w:val="68DA6016"/>
    <w:rsid w:val="69BE0695"/>
    <w:rsid w:val="6A642CFF"/>
    <w:rsid w:val="6ACE2E12"/>
    <w:rsid w:val="6B4E1138"/>
    <w:rsid w:val="6E2467E4"/>
    <w:rsid w:val="70047B88"/>
    <w:rsid w:val="705D456F"/>
    <w:rsid w:val="723C2D73"/>
    <w:rsid w:val="73DF25A7"/>
    <w:rsid w:val="73F34D4F"/>
    <w:rsid w:val="74325E85"/>
    <w:rsid w:val="74A204B9"/>
    <w:rsid w:val="7525179E"/>
    <w:rsid w:val="777A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autoSpaceDE w:val="0"/>
      <w:autoSpaceDN w:val="0"/>
      <w:adjustRightInd w:val="0"/>
      <w:snapToGrid w:val="0"/>
      <w:spacing w:beforeLines="100" w:afterLines="100" w:line="360" w:lineRule="auto"/>
      <w:jc w:val="left"/>
      <w:outlineLvl w:val="0"/>
    </w:pPr>
    <w:rPr>
      <w:rFonts w:ascii="Arial" w:hAnsi="Arial" w:eastAsia="黑体" w:cs="宋体"/>
      <w:b/>
      <w:bCs/>
      <w:color w:val="000000"/>
      <w:kern w:val="0"/>
      <w:sz w:val="36"/>
      <w:szCs w:val="36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0" w:lineRule="auto"/>
      <w:ind w:left="420" w:hanging="420"/>
      <w:outlineLvl w:val="1"/>
    </w:pPr>
    <w:rPr>
      <w:rFonts w:ascii="Arial" w:hAnsi="Arial" w:eastAsia="黑体" w:cs="Times New Roman"/>
      <w:b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qFormat/>
    <w:uiPriority w:val="0"/>
    <w:rPr>
      <w:sz w:val="18"/>
      <w:szCs w:val="18"/>
    </w:rPr>
  </w:style>
  <w:style w:type="paragraph" w:styleId="6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itle"/>
    <w:basedOn w:val="1"/>
    <w:next w:val="1"/>
    <w:link w:val="17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1">
    <w:name w:val="Hyperlink"/>
    <w:basedOn w:val="10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批注框文本 字符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眉 字符"/>
    <w:basedOn w:val="10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页脚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5">
    <w:name w:val="列出段落1"/>
    <w:basedOn w:val="1"/>
    <w:unhideWhenUsed/>
    <w:qFormat/>
    <w:uiPriority w:val="99"/>
    <w:pPr>
      <w:ind w:firstLine="420" w:firstLineChars="200"/>
    </w:pPr>
  </w:style>
  <w:style w:type="paragraph" w:styleId="16">
    <w:name w:val="List Paragraph"/>
    <w:basedOn w:val="1"/>
    <w:qFormat/>
    <w:uiPriority w:val="34"/>
    <w:pPr>
      <w:ind w:firstLine="420" w:firstLineChars="200"/>
    </w:pPr>
    <w:rPr>
      <w:szCs w:val="24"/>
    </w:rPr>
  </w:style>
  <w:style w:type="character" w:customStyle="1" w:styleId="17">
    <w:name w:val="标题 字符"/>
    <w:basedOn w:val="10"/>
    <w:link w:val="8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jpeg"/><Relationship Id="rId14" Type="http://schemas.openxmlformats.org/officeDocument/2006/relationships/image" Target="media/image11.png"/><Relationship Id="rId13" Type="http://schemas.openxmlformats.org/officeDocument/2006/relationships/image" Target="media/image10.jpe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166</Words>
  <Characters>952</Characters>
  <Lines>7</Lines>
  <Paragraphs>2</Paragraphs>
  <TotalTime>1</TotalTime>
  <ScaleCrop>false</ScaleCrop>
  <LinksUpToDate>false</LinksUpToDate>
  <CharactersWithSpaces>1116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2020-06-28T06:34:00Z</dcterms:created>
  <dc:creator>dejax</dc:creator>
  <cp:lastModifiedBy>Rhea ju</cp:lastModifiedBy>
  <dcterms:modified xsi:type="dcterms:W3CDTF">2023-10-08T02:25:25Z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FD2B5DD593CC455ABD09924FCD723572_12</vt:lpwstr>
  </property>
</Properties>
</file>