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240" w:lineRule="auto"/>
        <w:ind w:firstLine="720"/>
        <w:jc w:val="center"/>
        <w:rPr>
          <w:rFonts w:hint="eastAsia" w:ascii="微软雅黑" w:hAnsi="微软雅黑" w:eastAsia="微软雅黑"/>
          <w:sz w:val="36"/>
          <w:szCs w:val="36"/>
        </w:rPr>
      </w:pPr>
      <w:bookmarkStart w:id="1" w:name="_GoBack"/>
      <w:bookmarkEnd w:id="1"/>
      <w:r>
        <w:rPr>
          <w:rFonts w:hint="eastAsia" w:ascii="微软雅黑" w:hAnsi="微软雅黑" w:eastAsia="微软雅黑"/>
          <w:sz w:val="36"/>
          <w:szCs w:val="36"/>
        </w:rPr>
        <w:t>苏州工业园区人才子女就近入读公办学校申请</w:t>
      </w:r>
    </w:p>
    <w:p>
      <w:pPr>
        <w:pStyle w:val="2"/>
        <w:spacing w:line="240" w:lineRule="auto"/>
        <w:ind w:firstLine="720"/>
        <w:jc w:val="center"/>
        <w:rPr>
          <w:rFonts w:ascii="微软雅黑" w:hAnsi="微软雅黑" w:eastAsia="微软雅黑"/>
          <w:sz w:val="36"/>
          <w:szCs w:val="36"/>
        </w:rPr>
      </w:pPr>
      <w:r>
        <w:rPr>
          <w:rFonts w:hint="eastAsia" w:ascii="微软雅黑" w:hAnsi="微软雅黑" w:eastAsia="微软雅黑"/>
          <w:sz w:val="36"/>
          <w:szCs w:val="36"/>
        </w:rPr>
        <w:t>操作手册</w:t>
      </w:r>
    </w:p>
    <w:p>
      <w:pPr>
        <w:pStyle w:val="3"/>
        <w:numPr>
          <w:ilvl w:val="0"/>
          <w:numId w:val="2"/>
        </w:numPr>
        <w:spacing w:before="156" w:after="156" w:line="240" w:lineRule="auto"/>
        <w:ind w:firstLineChars="0"/>
        <w:rPr>
          <w:rFonts w:ascii="微软雅黑" w:hAnsi="微软雅黑" w:eastAsia="微软雅黑"/>
          <w:sz w:val="21"/>
          <w:szCs w:val="21"/>
        </w:rPr>
      </w:pPr>
      <w:r>
        <w:rPr>
          <w:rFonts w:hint="eastAsia" w:ascii="微软雅黑" w:hAnsi="微软雅黑" w:eastAsia="微软雅黑"/>
          <w:sz w:val="21"/>
          <w:szCs w:val="21"/>
        </w:rPr>
        <w:t>系统访问路径</w:t>
      </w:r>
    </w:p>
    <w:p>
      <w:pPr>
        <w:spacing w:before="156" w:after="156" w:line="240" w:lineRule="auto"/>
        <w:ind w:firstLine="420"/>
        <w:rPr>
          <w:rFonts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>本业务支持电脑端和手机端在线办理，申请人需通过“苏州工业园区一网通办”注册登录申请。注册登录如有问题，请联系一网通办技术支持咨询：0512-66680236、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邮</w:t>
      </w:r>
      <w:r>
        <w:rPr>
          <w:rFonts w:hint="eastAsia" w:ascii="微软雅黑" w:hAnsi="微软雅黑" w:eastAsia="微软雅黑"/>
          <w:bCs/>
          <w:sz w:val="21"/>
          <w:szCs w:val="21"/>
        </w:rPr>
        <w:t>箱webmaster@sipac.gov.cn。</w:t>
      </w:r>
    </w:p>
    <w:p>
      <w:pPr>
        <w:spacing w:before="156" w:after="156" w:line="240" w:lineRule="auto"/>
        <w:ind w:firstLine="420"/>
        <w:rPr>
          <w:rFonts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>1、电脑端路径：</w:t>
      </w:r>
    </w:p>
    <w:p>
      <w:pPr>
        <w:spacing w:before="156" w:after="156" w:line="240" w:lineRule="auto"/>
        <w:ind w:firstLine="420"/>
        <w:rPr>
          <w:rFonts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>打开苏州工业园区人才服务一网通办</w:t>
      </w:r>
      <w:r>
        <w:rPr>
          <w:sz w:val="21"/>
          <w:szCs w:val="21"/>
        </w:rPr>
        <w:fldChar w:fldCharType="begin"/>
      </w:r>
      <w:r>
        <w:rPr>
          <w:sz w:val="21"/>
          <w:szCs w:val="21"/>
        </w:rPr>
        <w:instrText xml:space="preserve"> HYPERLINK "https://tsc.sipac.gov.cn/one" </w:instrText>
      </w:r>
      <w:r>
        <w:rPr>
          <w:sz w:val="21"/>
          <w:szCs w:val="21"/>
        </w:rPr>
        <w:fldChar w:fldCharType="separate"/>
      </w:r>
      <w:r>
        <w:rPr>
          <w:rStyle w:val="15"/>
          <w:rFonts w:ascii="微软雅黑" w:hAnsi="微软雅黑" w:eastAsia="微软雅黑"/>
          <w:bCs/>
          <w:sz w:val="21"/>
          <w:szCs w:val="21"/>
        </w:rPr>
        <w:t>https://tsc.sipac.gov.cn/one</w:t>
      </w:r>
      <w:r>
        <w:rPr>
          <w:rStyle w:val="16"/>
          <w:rFonts w:ascii="微软雅黑" w:hAnsi="微软雅黑" w:eastAsia="微软雅黑"/>
          <w:bCs/>
          <w:sz w:val="21"/>
          <w:szCs w:val="21"/>
        </w:rPr>
        <w:fldChar w:fldCharType="end"/>
      </w:r>
    </w:p>
    <w:p>
      <w:pPr>
        <w:spacing w:before="156" w:after="156" w:line="240" w:lineRule="auto"/>
        <w:ind w:firstLine="420"/>
        <w:rPr>
          <w:rFonts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>人才服务</w:t>
      </w:r>
      <w:r>
        <w:rPr>
          <w:rFonts w:ascii="微软雅黑" w:hAnsi="微软雅黑" w:eastAsia="微软雅黑"/>
          <w:bCs/>
          <w:sz w:val="21"/>
          <w:szCs w:val="21"/>
        </w:rPr>
        <w:t>-&gt;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面向人才</w:t>
      </w:r>
      <w:r>
        <w:rPr>
          <w:rFonts w:ascii="微软雅黑" w:hAnsi="微软雅黑" w:eastAsia="微软雅黑"/>
          <w:bCs/>
          <w:sz w:val="21"/>
          <w:szCs w:val="21"/>
        </w:rPr>
        <w:t>-&gt;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子女入学</w:t>
      </w:r>
      <w:r>
        <w:rPr>
          <w:rFonts w:ascii="微软雅黑" w:hAnsi="微软雅黑" w:eastAsia="微软雅黑"/>
          <w:bCs/>
          <w:sz w:val="21"/>
          <w:szCs w:val="21"/>
        </w:rPr>
        <w:t>-&gt;</w:t>
      </w:r>
      <w:r>
        <w:rPr>
          <w:rFonts w:hint="eastAsia" w:ascii="微软雅黑" w:hAnsi="微软雅黑" w:eastAsia="微软雅黑"/>
          <w:bCs/>
          <w:sz w:val="21"/>
          <w:szCs w:val="21"/>
        </w:rPr>
        <w:t>人才子女就近入读公办学校申请，点击底部“在线办理”。</w:t>
      </w:r>
    </w:p>
    <w:p>
      <w:pPr>
        <w:spacing w:before="156" w:after="156" w:line="240" w:lineRule="auto"/>
        <w:ind w:left="0" w:leftChars="0" w:firstLine="0" w:firstLineChars="0"/>
        <w:jc w:val="both"/>
        <w:rPr>
          <w:rFonts w:ascii="微软雅黑" w:hAnsi="微软雅黑" w:eastAsia="微软雅黑"/>
          <w:bCs/>
          <w:sz w:val="21"/>
          <w:szCs w:val="21"/>
        </w:rPr>
      </w:pPr>
      <w:r>
        <w:drawing>
          <wp:inline distT="0" distB="0" distL="114300" distR="114300">
            <wp:extent cx="5266690" cy="2682875"/>
            <wp:effectExtent l="9525" t="9525" r="10160" b="1270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8287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after="156" w:line="240" w:lineRule="auto"/>
        <w:ind w:firstLine="0" w:firstLineChars="0"/>
      </w:pPr>
      <w:r>
        <w:drawing>
          <wp:inline distT="0" distB="0" distL="114300" distR="114300">
            <wp:extent cx="5266690" cy="2682875"/>
            <wp:effectExtent l="9525" t="9525" r="10160" b="12700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8287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after="156" w:line="240" w:lineRule="auto"/>
        <w:ind w:firstLine="0" w:firstLineChars="0"/>
      </w:pPr>
      <w:r>
        <w:drawing>
          <wp:inline distT="0" distB="0" distL="114300" distR="114300">
            <wp:extent cx="5266690" cy="2556510"/>
            <wp:effectExtent l="9525" t="9525" r="10160" b="152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5651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after="156" w:line="240" w:lineRule="auto"/>
        <w:ind w:firstLine="420"/>
        <w:rPr>
          <w:rFonts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>请按照系统提示进行登录，若尚未注册一网通办个人用户，</w:t>
      </w:r>
      <w:r>
        <w:rPr>
          <w:rFonts w:hint="eastAsia" w:ascii="微软雅黑" w:hAnsi="微软雅黑" w:eastAsia="微软雅黑"/>
          <w:bCs/>
          <w:color w:val="FF0000"/>
          <w:sz w:val="21"/>
          <w:szCs w:val="21"/>
        </w:rPr>
        <w:t>建议优先选择支付宝登录。</w:t>
      </w:r>
      <w:r>
        <w:rPr>
          <w:rFonts w:hint="eastAsia" w:ascii="微软雅黑" w:hAnsi="微软雅黑" w:eastAsia="微软雅黑"/>
          <w:bCs/>
          <w:sz w:val="21"/>
          <w:szCs w:val="21"/>
        </w:rPr>
        <w:t>若无支付宝，请点击“注册”进行个人用户注册，注册登录如有问题，请联系一网通办技术支持咨询：</w:t>
      </w:r>
      <w:r>
        <w:rPr>
          <w:rFonts w:ascii="微软雅黑" w:hAnsi="微软雅黑" w:eastAsia="微软雅黑"/>
          <w:bCs/>
          <w:sz w:val="21"/>
          <w:szCs w:val="21"/>
        </w:rPr>
        <w:t>0512-66680236、</w:t>
      </w:r>
      <w:r>
        <w:rPr>
          <w:rFonts w:hint="eastAsia" w:ascii="微软雅黑" w:hAnsi="微软雅黑" w:eastAsia="微软雅黑"/>
          <w:bCs/>
          <w:sz w:val="21"/>
          <w:szCs w:val="21"/>
        </w:rPr>
        <w:fldChar w:fldCharType="begin"/>
      </w:r>
      <w:r>
        <w:rPr>
          <w:rFonts w:hint="eastAsia" w:ascii="微软雅黑" w:hAnsi="微软雅黑" w:eastAsia="微软雅黑"/>
          <w:bCs/>
          <w:sz w:val="21"/>
          <w:szCs w:val="21"/>
        </w:rPr>
        <w:instrText xml:space="preserve"> HYPERLINK "mailto:信箱one@sipac.gov.cn" </w:instrText>
      </w:r>
      <w:r>
        <w:rPr>
          <w:rFonts w:hint="eastAsia" w:ascii="微软雅黑" w:hAnsi="微软雅黑" w:eastAsia="微软雅黑"/>
          <w:bCs/>
          <w:sz w:val="21"/>
          <w:szCs w:val="21"/>
        </w:rPr>
        <w:fldChar w:fldCharType="separate"/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邮箱</w:t>
      </w:r>
      <w:r>
        <w:rPr>
          <w:rFonts w:hint="eastAsia" w:ascii="微软雅黑" w:hAnsi="微软雅黑" w:eastAsia="微软雅黑"/>
          <w:bCs/>
          <w:sz w:val="21"/>
          <w:szCs w:val="21"/>
        </w:rPr>
        <w:t>webmaster@sipac.gov.cn</w:t>
      </w:r>
      <w:r>
        <w:rPr>
          <w:rStyle w:val="16"/>
          <w:rFonts w:ascii="微软雅黑" w:hAnsi="微软雅黑" w:eastAsia="微软雅黑"/>
          <w:bCs/>
          <w:sz w:val="21"/>
          <w:szCs w:val="21"/>
        </w:rPr>
        <w:fldChar w:fldCharType="end"/>
      </w:r>
      <w:r>
        <w:rPr>
          <w:rFonts w:hint="eastAsia" w:ascii="微软雅黑" w:hAnsi="微软雅黑" w:eastAsia="微软雅黑"/>
          <w:bCs/>
          <w:sz w:val="21"/>
          <w:szCs w:val="21"/>
        </w:rPr>
        <w:t>。</w:t>
      </w:r>
    </w:p>
    <w:p>
      <w:pPr>
        <w:spacing w:before="156" w:after="156" w:line="240" w:lineRule="auto"/>
        <w:ind w:firstLine="0" w:firstLineChars="0"/>
        <w:jc w:val="center"/>
        <w:rPr>
          <w:rFonts w:ascii="微软雅黑" w:hAnsi="微软雅黑" w:eastAsia="微软雅黑"/>
          <w:bCs/>
          <w:sz w:val="21"/>
          <w:szCs w:val="21"/>
        </w:rPr>
      </w:pPr>
      <w:r>
        <w:drawing>
          <wp:inline distT="0" distB="0" distL="114300" distR="114300">
            <wp:extent cx="5266690" cy="2682875"/>
            <wp:effectExtent l="9525" t="9525" r="10160" b="12700"/>
            <wp:docPr id="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8287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after="156" w:line="240" w:lineRule="auto"/>
        <w:ind w:firstLine="0" w:firstLineChars="0"/>
        <w:jc w:val="center"/>
        <w:rPr>
          <w:rFonts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drawing>
          <wp:inline distT="0" distB="0" distL="0" distR="0">
            <wp:extent cx="3742055" cy="4370705"/>
            <wp:effectExtent l="19050" t="19050" r="10795" b="10795"/>
            <wp:docPr id="7" name="图片 7" descr="电脑萤幕的截图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电脑萤幕的截图&#10;&#10;描述已自动生成"/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257"/>
                    <a:stretch>
                      <a:fillRect/>
                    </a:stretch>
                  </pic:blipFill>
                  <pic:spPr>
                    <a:xfrm>
                      <a:off x="0" y="0"/>
                      <a:ext cx="3746706" cy="4376419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after="156" w:line="240" w:lineRule="auto"/>
        <w:ind w:firstLine="420"/>
      </w:pPr>
      <w:r>
        <w:rPr>
          <w:rFonts w:hint="eastAsia" w:ascii="微软雅黑" w:hAnsi="微软雅黑" w:eastAsia="微软雅黑"/>
          <w:bCs/>
          <w:color w:val="FF0000"/>
          <w:sz w:val="21"/>
          <w:szCs w:val="21"/>
        </w:rPr>
        <w:t>备注：</w:t>
      </w:r>
      <w:r>
        <w:rPr>
          <w:rFonts w:ascii="微软雅黑" w:hAnsi="微软雅黑" w:eastAsia="微软雅黑"/>
          <w:bCs/>
          <w:color w:val="FF0000"/>
          <w:sz w:val="21"/>
          <w:szCs w:val="21"/>
        </w:rPr>
        <w:t>针对</w:t>
      </w:r>
      <w:r>
        <w:rPr>
          <w:rFonts w:ascii="微软雅黑" w:hAnsi="微软雅黑" w:eastAsia="微软雅黑"/>
          <w:b/>
          <w:color w:val="FF0000"/>
          <w:sz w:val="21"/>
          <w:szCs w:val="21"/>
        </w:rPr>
        <w:t>外籍人才</w:t>
      </w:r>
      <w:r>
        <w:rPr>
          <w:rFonts w:ascii="微软雅黑" w:hAnsi="微软雅黑" w:eastAsia="微软雅黑"/>
          <w:bCs/>
          <w:color w:val="FF0000"/>
          <w:sz w:val="21"/>
          <w:szCs w:val="21"/>
        </w:rPr>
        <w:t>，通过一网通办平台电脑端注册登录</w:t>
      </w:r>
      <w:r>
        <w:rPr>
          <w:rFonts w:hint="eastAsia" w:ascii="微软雅黑" w:hAnsi="微软雅黑" w:eastAsia="微软雅黑"/>
          <w:bCs/>
          <w:color w:val="FF0000"/>
          <w:sz w:val="21"/>
          <w:szCs w:val="21"/>
        </w:rPr>
        <w:t>时</w:t>
      </w:r>
      <w:r>
        <w:rPr>
          <w:rFonts w:ascii="微软雅黑" w:hAnsi="微软雅黑" w:eastAsia="微软雅黑"/>
          <w:bCs/>
          <w:color w:val="FF0000"/>
          <w:sz w:val="21"/>
          <w:szCs w:val="21"/>
        </w:rPr>
        <w:t>，</w:t>
      </w:r>
      <w:r>
        <w:rPr>
          <w:rFonts w:hint="eastAsia" w:ascii="微软雅黑" w:hAnsi="微软雅黑" w:eastAsia="微软雅黑"/>
          <w:bCs/>
          <w:color w:val="FF0000"/>
          <w:sz w:val="21"/>
          <w:szCs w:val="21"/>
        </w:rPr>
        <w:t>请</w:t>
      </w:r>
      <w:r>
        <w:rPr>
          <w:rFonts w:ascii="微软雅黑" w:hAnsi="微软雅黑" w:eastAsia="微软雅黑"/>
          <w:bCs/>
          <w:color w:val="FF0000"/>
          <w:sz w:val="21"/>
          <w:szCs w:val="21"/>
        </w:rPr>
        <w:t>证件类型</w:t>
      </w:r>
      <w:r>
        <w:rPr>
          <w:rFonts w:ascii="微软雅黑" w:hAnsi="微软雅黑" w:eastAsia="微软雅黑"/>
          <w:b/>
          <w:color w:val="FF0000"/>
          <w:sz w:val="21"/>
          <w:szCs w:val="21"/>
        </w:rPr>
        <w:t>选择外国人永久居住证或外国人工作许可证</w:t>
      </w:r>
      <w:r>
        <w:rPr>
          <w:rFonts w:ascii="微软雅黑" w:hAnsi="微软雅黑" w:eastAsia="微软雅黑"/>
          <w:bCs/>
          <w:color w:val="FF0000"/>
          <w:sz w:val="21"/>
          <w:szCs w:val="21"/>
        </w:rPr>
        <w:t>进行线上注册，证件号码为外国人永久居住证号或外国人工作许可证号。</w:t>
      </w:r>
    </w:p>
    <w:p>
      <w:pPr>
        <w:pStyle w:val="3"/>
        <w:numPr>
          <w:ilvl w:val="0"/>
          <w:numId w:val="2"/>
        </w:numPr>
        <w:spacing w:before="156" w:after="156" w:line="240" w:lineRule="auto"/>
        <w:ind w:firstLineChars="0"/>
        <w:rPr>
          <w:rFonts w:ascii="微软雅黑" w:hAnsi="微软雅黑" w:eastAsia="微软雅黑"/>
          <w:sz w:val="21"/>
          <w:szCs w:val="21"/>
        </w:rPr>
      </w:pPr>
      <w:r>
        <w:rPr>
          <w:rFonts w:hint="eastAsia" w:ascii="微软雅黑" w:hAnsi="微软雅黑" w:eastAsia="微软雅黑"/>
          <w:sz w:val="21"/>
          <w:szCs w:val="21"/>
          <w:lang w:val="en-US" w:eastAsia="zh-CN"/>
        </w:rPr>
        <w:t>学校</w:t>
      </w:r>
      <w:r>
        <w:rPr>
          <w:rFonts w:hint="eastAsia" w:ascii="微软雅黑" w:hAnsi="微软雅黑" w:eastAsia="微软雅黑"/>
          <w:sz w:val="21"/>
          <w:szCs w:val="21"/>
        </w:rPr>
        <w:t>申请</w:t>
      </w:r>
    </w:p>
    <w:p>
      <w:pPr>
        <w:spacing w:before="156" w:after="156" w:line="240" w:lineRule="auto"/>
        <w:ind w:firstLine="420"/>
        <w:rPr>
          <w:rFonts w:hint="eastAsia"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>人才须拥护中国共产党领导和中国特色社会主义制度，遵守中华人民共和国宪法和法律，有良好的职业道德和严谨的工作作风，个人（含曾创办企业）信用记录良好，未被列入失信联合惩戒对象，且在园区工作。具体包括：</w:t>
      </w:r>
    </w:p>
    <w:p>
      <w:pPr>
        <w:spacing w:before="156" w:after="156" w:line="240" w:lineRule="auto"/>
        <w:ind w:firstLine="420"/>
        <w:rPr>
          <w:rFonts w:hint="eastAsia"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>1.“金鸡湖人才计划”中的A-D类人才；</w:t>
      </w:r>
    </w:p>
    <w:p>
      <w:pPr>
        <w:spacing w:before="156" w:after="156" w:line="240" w:lineRule="auto"/>
        <w:ind w:firstLine="420"/>
        <w:rPr>
          <w:rFonts w:hint="eastAsia"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>2.具有境内博士学历学位或境外硕士及以上学历学位的青年人才；</w:t>
      </w:r>
    </w:p>
    <w:p>
      <w:pPr>
        <w:spacing w:before="156" w:after="156" w:line="240" w:lineRule="auto"/>
        <w:ind w:firstLine="420"/>
        <w:rPr>
          <w:rFonts w:hint="eastAsia"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>3. 2016年之后园区申报入选的姑苏（苏州市）重点产业紧缺人才；</w:t>
      </w:r>
    </w:p>
    <w:p>
      <w:pPr>
        <w:spacing w:before="156" w:after="156" w:line="240" w:lineRule="auto"/>
        <w:ind w:firstLine="420"/>
        <w:rPr>
          <w:rFonts w:hint="eastAsia"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>4. 其他经园区人才办认定的人才。</w:t>
      </w:r>
    </w:p>
    <w:p>
      <w:pPr>
        <w:spacing w:before="156" w:after="156" w:line="240" w:lineRule="auto"/>
        <w:ind w:firstLine="420"/>
        <w:rPr>
          <w:rFonts w:hint="default" w:ascii="微软雅黑" w:hAnsi="微软雅黑" w:eastAsia="微软雅黑"/>
          <w:bCs/>
          <w:sz w:val="21"/>
          <w:szCs w:val="21"/>
          <w:lang w:val="en-US" w:eastAsia="zh-CN"/>
        </w:rPr>
      </w:pP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您可以选择以上方任意一种方式，提交本人相关人才资质信息及证明材料，继续进行申请：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ab/>
      </w:r>
    </w:p>
    <w:p>
      <w:pPr>
        <w:spacing w:before="156" w:after="156" w:line="240" w:lineRule="auto"/>
        <w:ind w:left="0" w:leftChars="0" w:firstLine="0" w:firstLineChars="0"/>
        <w:jc w:val="center"/>
        <w:rPr>
          <w:rFonts w:hint="eastAsia" w:ascii="微软雅黑" w:hAnsi="微软雅黑" w:eastAsia="微软雅黑"/>
          <w:bCs/>
          <w:sz w:val="21"/>
          <w:szCs w:val="21"/>
        </w:rPr>
      </w:pPr>
      <w:r>
        <w:drawing>
          <wp:inline distT="0" distB="0" distL="114300" distR="114300">
            <wp:extent cx="5266690" cy="2682875"/>
            <wp:effectExtent l="9525" t="9525" r="10160" b="12700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8287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after="156" w:line="240" w:lineRule="auto"/>
        <w:ind w:firstLine="420"/>
        <w:rPr>
          <w:rFonts w:hint="eastAsia" w:ascii="微软雅黑" w:hAnsi="微软雅黑" w:eastAsia="微软雅黑"/>
          <w:b/>
          <w:sz w:val="21"/>
          <w:szCs w:val="21"/>
        </w:rPr>
      </w:pPr>
      <w:r>
        <w:rPr>
          <w:rFonts w:hint="eastAsia" w:ascii="微软雅黑" w:hAnsi="微软雅黑" w:eastAsia="微软雅黑"/>
          <w:b/>
          <w:sz w:val="21"/>
          <w:szCs w:val="21"/>
        </w:rPr>
        <w:t>（</w:t>
      </w:r>
      <w:r>
        <w:rPr>
          <w:rFonts w:hint="eastAsia" w:ascii="微软雅黑" w:hAnsi="微软雅黑" w:eastAsia="微软雅黑"/>
          <w:b/>
          <w:sz w:val="21"/>
          <w:szCs w:val="21"/>
          <w:lang w:val="en-US" w:eastAsia="zh-CN"/>
        </w:rPr>
        <w:t>一</w:t>
      </w:r>
      <w:r>
        <w:rPr>
          <w:rFonts w:hint="eastAsia" w:ascii="微软雅黑" w:hAnsi="微软雅黑" w:eastAsia="微软雅黑"/>
          <w:b/>
          <w:sz w:val="21"/>
          <w:szCs w:val="21"/>
        </w:rPr>
        <w:t>）“金鸡湖人才计划”中的A-D类人才</w:t>
      </w:r>
    </w:p>
    <w:p>
      <w:pPr>
        <w:spacing w:before="156" w:after="156" w:line="240" w:lineRule="auto"/>
        <w:ind w:firstLine="0" w:firstLineChars="0"/>
        <w:rPr>
          <w:rFonts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 xml:space="preserve"> </w:t>
      </w:r>
      <w:r>
        <w:rPr>
          <w:rFonts w:ascii="微软雅黑" w:hAnsi="微软雅黑" w:eastAsia="微软雅黑"/>
          <w:bCs/>
          <w:sz w:val="21"/>
          <w:szCs w:val="21"/>
        </w:rPr>
        <w:t xml:space="preserve">    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若本人为顶尖型人才（A类）、领军型人才（B类）、拔尖型人才（C类）或骨干型人才（D类）</w:t>
      </w:r>
      <w:r>
        <w:rPr>
          <w:rFonts w:hint="eastAsia" w:ascii="微软雅黑" w:hAnsi="微软雅黑" w:eastAsia="微软雅黑"/>
          <w:bCs/>
          <w:sz w:val="21"/>
          <w:szCs w:val="21"/>
        </w:rPr>
        <w:t>需先</w:t>
      </w:r>
      <w:bookmarkStart w:id="0" w:name="_Hlk20681019"/>
      <w:r>
        <w:rPr>
          <w:rFonts w:hint="eastAsia" w:ascii="微软雅黑" w:hAnsi="微软雅黑" w:eastAsia="微软雅黑"/>
          <w:bCs/>
          <w:sz w:val="21"/>
          <w:szCs w:val="21"/>
        </w:rPr>
        <w:t>进行人才政策适用对象认定</w:t>
      </w:r>
      <w:bookmarkEnd w:id="0"/>
      <w:r>
        <w:rPr>
          <w:rFonts w:hint="eastAsia" w:ascii="微软雅黑" w:hAnsi="微软雅黑" w:eastAsia="微软雅黑"/>
          <w:bCs/>
          <w:sz w:val="21"/>
          <w:szCs w:val="21"/>
        </w:rPr>
        <w:t>，提交本人相关人才资质信息及证明材料，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经核实</w:t>
      </w:r>
      <w:r>
        <w:rPr>
          <w:rFonts w:hint="eastAsia" w:ascii="微软雅黑" w:hAnsi="微软雅黑" w:eastAsia="微软雅黑"/>
          <w:bCs/>
          <w:sz w:val="21"/>
          <w:szCs w:val="21"/>
        </w:rPr>
        <w:t>认定人才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类别</w:t>
      </w:r>
      <w:r>
        <w:rPr>
          <w:rFonts w:hint="eastAsia" w:ascii="微软雅黑" w:hAnsi="微软雅黑" w:eastAsia="微软雅黑"/>
          <w:bCs/>
          <w:sz w:val="21"/>
          <w:szCs w:val="21"/>
        </w:rPr>
        <w:t>后，可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继续</w:t>
      </w:r>
      <w:r>
        <w:rPr>
          <w:rFonts w:hint="eastAsia" w:ascii="微软雅黑" w:hAnsi="微软雅黑" w:eastAsia="微软雅黑"/>
          <w:bCs/>
          <w:sz w:val="21"/>
          <w:szCs w:val="21"/>
        </w:rPr>
        <w:t>进行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学校</w:t>
      </w:r>
      <w:r>
        <w:rPr>
          <w:rFonts w:hint="eastAsia" w:ascii="微软雅黑" w:hAnsi="微软雅黑" w:eastAsia="微软雅黑"/>
          <w:bCs/>
          <w:sz w:val="21"/>
          <w:szCs w:val="21"/>
        </w:rPr>
        <w:t>申请。</w:t>
      </w:r>
    </w:p>
    <w:p>
      <w:pPr>
        <w:spacing w:before="156" w:after="156" w:line="240" w:lineRule="auto"/>
        <w:ind w:firstLine="420"/>
        <w:rPr>
          <w:rFonts w:ascii="微软雅黑" w:hAnsi="微软雅黑" w:eastAsia="微软雅黑"/>
          <w:bCs/>
          <w:color w:val="FF0000"/>
          <w:sz w:val="21"/>
          <w:szCs w:val="21"/>
        </w:rPr>
      </w:pPr>
      <w:r>
        <w:rPr>
          <w:rFonts w:hint="eastAsia" w:ascii="微软雅黑" w:hAnsi="微软雅黑" w:eastAsia="微软雅黑"/>
          <w:bCs/>
          <w:color w:val="FF0000"/>
          <w:sz w:val="21"/>
          <w:szCs w:val="21"/>
        </w:rPr>
        <w:t>以下说明针对需要先完成人才政策适用对象认定的情况：</w:t>
      </w:r>
    </w:p>
    <w:p>
      <w:pPr>
        <w:spacing w:before="156" w:after="156" w:line="240" w:lineRule="auto"/>
        <w:ind w:firstLine="420"/>
        <w:rPr>
          <w:rFonts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选择</w:t>
      </w:r>
      <w:r>
        <w:rPr>
          <w:rFonts w:hint="eastAsia" w:ascii="微软雅黑" w:hAnsi="微软雅黑" w:eastAsia="微软雅黑"/>
          <w:bCs/>
          <w:sz w:val="21"/>
          <w:szCs w:val="21"/>
        </w:rPr>
        <w:t>“</w:t>
      </w:r>
      <w:r>
        <w:rPr>
          <w:rFonts w:hint="eastAsia" w:ascii="微软雅黑" w:hAnsi="微软雅黑" w:eastAsia="微软雅黑"/>
          <w:bCs/>
          <w:sz w:val="21"/>
          <w:szCs w:val="21"/>
          <w:lang w:eastAsia="zh-CN"/>
        </w:rPr>
        <w:t>‘</w:t>
      </w:r>
      <w:r>
        <w:rPr>
          <w:rFonts w:hint="eastAsia" w:ascii="微软雅黑" w:hAnsi="微软雅黑" w:eastAsia="微软雅黑"/>
          <w:bCs/>
          <w:sz w:val="21"/>
          <w:szCs w:val="21"/>
        </w:rPr>
        <w:t>金鸡湖人才计划</w:t>
      </w:r>
      <w:r>
        <w:rPr>
          <w:rFonts w:hint="eastAsia" w:ascii="微软雅黑" w:hAnsi="微软雅黑" w:eastAsia="微软雅黑"/>
          <w:bCs/>
          <w:sz w:val="21"/>
          <w:szCs w:val="21"/>
          <w:lang w:eastAsia="zh-CN"/>
        </w:rPr>
        <w:t>’</w:t>
      </w:r>
      <w:r>
        <w:rPr>
          <w:rFonts w:hint="eastAsia" w:ascii="微软雅黑" w:hAnsi="微软雅黑" w:eastAsia="微软雅黑"/>
          <w:bCs/>
          <w:sz w:val="21"/>
          <w:szCs w:val="21"/>
        </w:rPr>
        <w:t>中的A-D类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人才</w:t>
      </w:r>
      <w:r>
        <w:rPr>
          <w:rFonts w:hint="eastAsia" w:ascii="微软雅黑" w:hAnsi="微软雅黑" w:eastAsia="微软雅黑"/>
          <w:bCs/>
          <w:sz w:val="21"/>
          <w:szCs w:val="21"/>
        </w:rPr>
        <w:t>”进入人才认定申请填报页面，根据提示填写相关信息并上传相关人才资质、荣誉证明材料。</w:t>
      </w:r>
    </w:p>
    <w:p>
      <w:pPr>
        <w:spacing w:before="156" w:after="156" w:line="240" w:lineRule="auto"/>
        <w:ind w:firstLine="420"/>
        <w:rPr>
          <w:rFonts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>人才认定申请提交后，请等待业务人员审核，业务人员审核通过后并被标记为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A-D类</w:t>
      </w:r>
      <w:r>
        <w:rPr>
          <w:rFonts w:hint="eastAsia" w:ascii="微软雅黑" w:hAnsi="微软雅黑" w:eastAsia="微软雅黑"/>
          <w:bCs/>
          <w:sz w:val="21"/>
          <w:szCs w:val="21"/>
        </w:rPr>
        <w:t>人才，方可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再</w:t>
      </w:r>
      <w:r>
        <w:rPr>
          <w:rFonts w:hint="eastAsia" w:ascii="微软雅黑" w:hAnsi="微软雅黑" w:eastAsia="微软雅黑"/>
          <w:bCs/>
          <w:sz w:val="21"/>
          <w:szCs w:val="21"/>
        </w:rPr>
        <w:t>进行</w:t>
      </w: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子女</w:t>
      </w:r>
      <w:r>
        <w:rPr>
          <w:rFonts w:hint="eastAsia" w:ascii="微软雅黑" w:hAnsi="微软雅黑" w:eastAsia="微软雅黑"/>
          <w:bCs/>
          <w:sz w:val="21"/>
          <w:szCs w:val="21"/>
        </w:rPr>
        <w:t>就近入读公办学校申请。</w:t>
      </w:r>
    </w:p>
    <w:p>
      <w:pPr>
        <w:spacing w:before="156" w:after="156" w:line="240" w:lineRule="auto"/>
        <w:ind w:firstLine="0" w:firstLineChars="0"/>
        <w:jc w:val="center"/>
        <w:rPr>
          <w:rFonts w:ascii="微软雅黑" w:hAnsi="微软雅黑" w:eastAsia="微软雅黑"/>
          <w:bCs/>
          <w:sz w:val="21"/>
          <w:szCs w:val="21"/>
        </w:rPr>
      </w:pPr>
      <w:r>
        <w:drawing>
          <wp:inline distT="0" distB="0" distL="114300" distR="114300">
            <wp:extent cx="5266690" cy="2583815"/>
            <wp:effectExtent l="9525" t="9525" r="10160" b="165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58381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after="156" w:line="240" w:lineRule="auto"/>
        <w:ind w:firstLine="420"/>
        <w:rPr>
          <w:rFonts w:hint="eastAsia" w:ascii="微软雅黑" w:hAnsi="微软雅黑" w:eastAsia="微软雅黑"/>
          <w:bCs/>
          <w:color w:val="FF0000"/>
          <w:sz w:val="21"/>
          <w:szCs w:val="21"/>
        </w:rPr>
      </w:pPr>
      <w:r>
        <w:rPr>
          <w:rFonts w:hint="eastAsia" w:ascii="微软雅黑" w:hAnsi="微软雅黑" w:eastAsia="微软雅黑"/>
          <w:bCs/>
          <w:color w:val="FF0000"/>
          <w:sz w:val="21"/>
          <w:szCs w:val="21"/>
        </w:rPr>
        <w:t>人才认定审核通过后，将收到短信提醒，可</w:t>
      </w:r>
      <w:r>
        <w:rPr>
          <w:rFonts w:hint="eastAsia" w:ascii="微软雅黑" w:hAnsi="微软雅黑" w:eastAsia="微软雅黑"/>
          <w:bCs/>
          <w:color w:val="FF0000"/>
          <w:sz w:val="21"/>
          <w:szCs w:val="21"/>
          <w:lang w:val="en-US" w:eastAsia="zh-CN"/>
        </w:rPr>
        <w:t>继续进行学校</w:t>
      </w:r>
      <w:r>
        <w:rPr>
          <w:rFonts w:hint="eastAsia" w:ascii="微软雅黑" w:hAnsi="微软雅黑" w:eastAsia="微软雅黑"/>
          <w:bCs/>
          <w:color w:val="FF0000"/>
          <w:sz w:val="21"/>
          <w:szCs w:val="21"/>
        </w:rPr>
        <w:t>申请。</w:t>
      </w:r>
    </w:p>
    <w:p>
      <w:pPr>
        <w:spacing w:before="156" w:after="156" w:line="240" w:lineRule="auto"/>
        <w:ind w:firstLine="420"/>
        <w:rPr>
          <w:rFonts w:hint="eastAsia"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/>
          <w:sz w:val="21"/>
          <w:szCs w:val="21"/>
        </w:rPr>
        <w:t>（</w:t>
      </w:r>
      <w:r>
        <w:rPr>
          <w:rFonts w:hint="eastAsia" w:ascii="微软雅黑" w:hAnsi="微软雅黑" w:eastAsia="微软雅黑"/>
          <w:b/>
          <w:sz w:val="21"/>
          <w:szCs w:val="21"/>
          <w:lang w:val="en-US" w:eastAsia="zh-CN"/>
        </w:rPr>
        <w:t>二</w:t>
      </w:r>
      <w:r>
        <w:rPr>
          <w:rFonts w:hint="eastAsia" w:ascii="微软雅黑" w:hAnsi="微软雅黑" w:eastAsia="微软雅黑"/>
          <w:b/>
          <w:sz w:val="21"/>
          <w:szCs w:val="21"/>
        </w:rPr>
        <w:t>）具有境内博士学历学位或境外硕士及以上学历学位的青年人才</w:t>
      </w:r>
    </w:p>
    <w:p>
      <w:pPr>
        <w:spacing w:before="156" w:after="156" w:line="240" w:lineRule="auto"/>
        <w:ind w:firstLine="480" w:firstLineChars="0"/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</w:pP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若本人具有境内博士学历学位或境外硕士及以上学历学位，可选择方式二提交本人相关人才资质信息及证明材料后，进行学校申请。</w:t>
      </w:r>
    </w:p>
    <w:p>
      <w:pPr>
        <w:spacing w:before="156" w:after="156" w:line="240" w:lineRule="auto"/>
        <w:ind w:firstLine="480" w:firstLineChars="0"/>
        <w:rPr>
          <w:rFonts w:hint="eastAsia"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学校</w:t>
      </w:r>
      <w:r>
        <w:rPr>
          <w:rFonts w:hint="eastAsia" w:ascii="微软雅黑" w:hAnsi="微软雅黑" w:eastAsia="微软雅黑"/>
          <w:bCs/>
          <w:sz w:val="21"/>
          <w:szCs w:val="21"/>
        </w:rPr>
        <w:t>申请需填写人才基本信息、子女信息和上传相关附件。</w:t>
      </w:r>
    </w:p>
    <w:p>
      <w:pPr>
        <w:spacing w:before="156" w:after="156" w:line="240" w:lineRule="auto"/>
        <w:ind w:firstLine="420"/>
        <w:rPr>
          <w:rFonts w:hint="eastAsia"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/>
          <w:sz w:val="21"/>
          <w:szCs w:val="21"/>
        </w:rPr>
        <w:t>（</w:t>
      </w:r>
      <w:r>
        <w:rPr>
          <w:rFonts w:hint="eastAsia" w:ascii="微软雅黑" w:hAnsi="微软雅黑" w:eastAsia="微软雅黑"/>
          <w:b/>
          <w:sz w:val="21"/>
          <w:szCs w:val="21"/>
          <w:lang w:val="en-US" w:eastAsia="zh-CN"/>
        </w:rPr>
        <w:t>三</w:t>
      </w:r>
      <w:r>
        <w:rPr>
          <w:rFonts w:hint="eastAsia" w:ascii="微软雅黑" w:hAnsi="微软雅黑" w:eastAsia="微软雅黑"/>
          <w:b/>
          <w:sz w:val="21"/>
          <w:szCs w:val="21"/>
        </w:rPr>
        <w:t>）2016年之后园区申报入选的姑苏（苏州市）重点产业紧缺人才</w:t>
      </w:r>
    </w:p>
    <w:p>
      <w:pPr>
        <w:spacing w:before="156" w:after="156" w:line="240" w:lineRule="auto"/>
        <w:ind w:firstLine="480" w:firstLineChars="0"/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</w:pP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若本人符合2016年之后园区申报入选的姑苏（苏州市）重点产业紧缺人才，可选择方式三进行学校申请。</w:t>
      </w:r>
    </w:p>
    <w:p>
      <w:pPr>
        <w:spacing w:before="156" w:after="156" w:line="240" w:lineRule="auto"/>
        <w:ind w:firstLine="480" w:firstLineChars="0"/>
        <w:rPr>
          <w:rFonts w:hint="eastAsia"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学校</w:t>
      </w:r>
      <w:r>
        <w:rPr>
          <w:rFonts w:hint="eastAsia" w:ascii="微软雅黑" w:hAnsi="微软雅黑" w:eastAsia="微软雅黑"/>
          <w:bCs/>
          <w:sz w:val="21"/>
          <w:szCs w:val="21"/>
        </w:rPr>
        <w:t>申请需填写人才基本信息、子女信息和上传相关附件。</w:t>
      </w:r>
    </w:p>
    <w:p>
      <w:pPr>
        <w:spacing w:before="156" w:after="156" w:line="240" w:lineRule="auto"/>
        <w:ind w:firstLine="420"/>
        <w:rPr>
          <w:rFonts w:hint="eastAsia"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/>
          <w:sz w:val="21"/>
          <w:szCs w:val="21"/>
        </w:rPr>
        <w:t>（</w:t>
      </w:r>
      <w:r>
        <w:rPr>
          <w:rFonts w:hint="eastAsia" w:ascii="微软雅黑" w:hAnsi="微软雅黑" w:eastAsia="微软雅黑"/>
          <w:b/>
          <w:sz w:val="21"/>
          <w:szCs w:val="21"/>
          <w:lang w:val="en-US" w:eastAsia="zh-CN"/>
        </w:rPr>
        <w:t>四</w:t>
      </w:r>
      <w:r>
        <w:rPr>
          <w:rFonts w:hint="eastAsia" w:ascii="微软雅黑" w:hAnsi="微软雅黑" w:eastAsia="微软雅黑"/>
          <w:b/>
          <w:sz w:val="21"/>
          <w:szCs w:val="21"/>
        </w:rPr>
        <w:t>）其他经园区人才办认定的人才</w:t>
      </w:r>
    </w:p>
    <w:p>
      <w:pPr>
        <w:spacing w:before="156" w:after="156" w:line="240" w:lineRule="auto"/>
        <w:ind w:firstLine="480" w:firstLineChars="0"/>
        <w:rPr>
          <w:rFonts w:hint="default" w:ascii="微软雅黑" w:hAnsi="微软雅黑" w:eastAsia="微软雅黑"/>
          <w:bCs/>
          <w:sz w:val="21"/>
          <w:szCs w:val="21"/>
          <w:lang w:val="en-US"/>
        </w:rPr>
      </w:pPr>
      <w:r>
        <w:rPr>
          <w:rFonts w:hint="eastAsia" w:ascii="微软雅黑" w:hAnsi="微软雅黑" w:eastAsia="微软雅黑"/>
          <w:bCs/>
          <w:sz w:val="21"/>
          <w:szCs w:val="21"/>
          <w:lang w:val="en-US" w:eastAsia="zh-CN"/>
        </w:rPr>
        <w:t>若本人具有除以上三种类型以外的其他经园区人才办认定的资质，可选择方式四进行学校申请。（可致电咨询，蒋老师  0512-67068030）</w:t>
      </w:r>
    </w:p>
    <w:p>
      <w:pPr>
        <w:spacing w:before="156" w:after="156" w:line="240" w:lineRule="auto"/>
        <w:ind w:firstLine="0" w:firstLineChars="0"/>
        <w:rPr>
          <w:rFonts w:ascii="微软雅黑" w:hAnsi="微软雅黑" w:eastAsia="微软雅黑"/>
          <w:bCs/>
          <w:sz w:val="21"/>
          <w:szCs w:val="21"/>
        </w:rPr>
      </w:pPr>
      <w:r>
        <w:drawing>
          <wp:inline distT="0" distB="0" distL="114300" distR="114300">
            <wp:extent cx="5266690" cy="2682875"/>
            <wp:effectExtent l="9525" t="9525" r="10160" b="12700"/>
            <wp:docPr id="9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8287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after="156" w:line="240" w:lineRule="auto"/>
        <w:ind w:firstLine="0" w:firstLineChars="0"/>
      </w:pPr>
      <w:r>
        <w:drawing>
          <wp:inline distT="0" distB="0" distL="114300" distR="114300">
            <wp:extent cx="5266690" cy="2682875"/>
            <wp:effectExtent l="9525" t="9525" r="10160" b="12700"/>
            <wp:docPr id="10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8287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after="156" w:line="240" w:lineRule="auto"/>
        <w:ind w:firstLine="0" w:firstLineChars="0"/>
      </w:pPr>
      <w:r>
        <w:drawing>
          <wp:inline distT="0" distB="0" distL="114300" distR="114300">
            <wp:extent cx="5266690" cy="2682875"/>
            <wp:effectExtent l="9525" t="9525" r="10160" b="12700"/>
            <wp:docPr id="12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8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8287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after="156" w:line="240" w:lineRule="auto"/>
        <w:ind w:firstLine="480" w:firstLineChars="0"/>
        <w:rPr>
          <w:rFonts w:ascii="微软雅黑" w:hAnsi="微软雅黑" w:eastAsia="微软雅黑"/>
          <w:bCs/>
          <w:color w:val="FF0000"/>
          <w:sz w:val="21"/>
          <w:szCs w:val="21"/>
        </w:rPr>
      </w:pPr>
      <w:r>
        <w:rPr>
          <w:rFonts w:hint="eastAsia" w:ascii="微软雅黑" w:hAnsi="微软雅黑" w:eastAsia="微软雅黑"/>
          <w:bCs/>
          <w:color w:val="FF0000"/>
          <w:sz w:val="21"/>
          <w:szCs w:val="21"/>
        </w:rPr>
        <w:t>请务必按照附件说明上传。</w:t>
      </w:r>
    </w:p>
    <w:p>
      <w:pPr>
        <w:spacing w:before="156" w:after="156" w:line="240" w:lineRule="auto"/>
        <w:ind w:firstLine="0" w:firstLineChars="0"/>
        <w:rPr>
          <w:rFonts w:ascii="微软雅黑" w:hAnsi="微软雅黑" w:eastAsia="微软雅黑"/>
          <w:bCs/>
          <w:sz w:val="21"/>
          <w:szCs w:val="21"/>
        </w:rPr>
      </w:pPr>
      <w:r>
        <w:drawing>
          <wp:inline distT="0" distB="0" distL="114300" distR="114300">
            <wp:extent cx="5266690" cy="2682875"/>
            <wp:effectExtent l="9525" t="9525" r="10160" b="12700"/>
            <wp:docPr id="11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8287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after="156" w:line="240" w:lineRule="auto"/>
        <w:ind w:firstLine="420"/>
        <w:rPr>
          <w:rFonts w:ascii="微软雅黑" w:hAnsi="微软雅黑" w:eastAsia="微软雅黑"/>
          <w:bCs/>
          <w:sz w:val="21"/>
          <w:szCs w:val="21"/>
        </w:rPr>
      </w:pPr>
      <w:r>
        <w:rPr>
          <w:rFonts w:hint="eastAsia" w:ascii="微软雅黑" w:hAnsi="微软雅黑" w:eastAsia="微软雅黑"/>
          <w:bCs/>
          <w:sz w:val="21"/>
          <w:szCs w:val="21"/>
        </w:rPr>
        <w:t>填写信息确认无误后提交，等待后台业务人员审核。</w:t>
      </w:r>
    </w:p>
    <w:p>
      <w:pPr>
        <w:spacing w:before="156" w:after="156" w:line="240" w:lineRule="auto"/>
        <w:ind w:firstLine="0" w:firstLineChars="0"/>
        <w:rPr>
          <w:rFonts w:ascii="微软雅黑" w:hAnsi="微软雅黑" w:eastAsia="微软雅黑"/>
          <w:bCs/>
          <w:sz w:val="21"/>
          <w:szCs w:val="21"/>
        </w:rPr>
      </w:pPr>
      <w:r>
        <w:rPr>
          <w:sz w:val="21"/>
          <w:szCs w:val="21"/>
        </w:rPr>
        <w:drawing>
          <wp:inline distT="0" distB="0" distL="0" distR="0">
            <wp:extent cx="5273675" cy="1211580"/>
            <wp:effectExtent l="19050" t="19050" r="22225" b="2667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/>
                    <pic:cNvPicPr>
                      <a:picLocks noChangeAspect="1"/>
                    </pic:cNvPicPr>
                  </pic:nvPicPr>
                  <pic:blipFill>
                    <a:blip r:embed="rId21"/>
                    <a:srcRect t="21109" b="2787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211999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4472C4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微软雅黑" w:hAnsi="微软雅黑" w:eastAsia="微软雅黑"/>
          <w:sz w:val="21"/>
          <w:szCs w:val="21"/>
        </w:rPr>
      </w:pPr>
      <w:r>
        <w:rPr>
          <w:rFonts w:hint="eastAsia" w:ascii="微软雅黑" w:hAnsi="微软雅黑" w:eastAsia="微软雅黑"/>
          <w:sz w:val="21"/>
          <w:szCs w:val="21"/>
        </w:rPr>
        <w:br w:type="page"/>
      </w:r>
    </w:p>
    <w:p>
      <w:pPr>
        <w:pStyle w:val="3"/>
        <w:spacing w:before="156" w:after="156" w:line="240" w:lineRule="auto"/>
        <w:ind w:firstLine="0" w:firstLineChars="0"/>
        <w:rPr>
          <w:rFonts w:ascii="微软雅黑" w:hAnsi="微软雅黑" w:eastAsia="微软雅黑"/>
          <w:sz w:val="21"/>
          <w:szCs w:val="21"/>
        </w:rPr>
      </w:pPr>
      <w:r>
        <w:rPr>
          <w:rFonts w:hint="eastAsia" w:ascii="微软雅黑" w:hAnsi="微软雅黑" w:eastAsia="微软雅黑"/>
          <w:sz w:val="21"/>
          <w:szCs w:val="21"/>
        </w:rPr>
        <w:t>三、系统技术支持</w:t>
      </w:r>
    </w:p>
    <w:p>
      <w:pPr>
        <w:spacing w:before="156" w:after="156" w:line="240" w:lineRule="auto"/>
        <w:ind w:firstLine="457" w:firstLineChars="218"/>
        <w:rPr>
          <w:rFonts w:ascii="微软雅黑" w:hAnsi="微软雅黑" w:eastAsia="微软雅黑" w:cs="Arial"/>
          <w:sz w:val="21"/>
          <w:szCs w:val="21"/>
        </w:rPr>
      </w:pPr>
      <w:r>
        <w:rPr>
          <w:rFonts w:ascii="微软雅黑" w:hAnsi="微软雅黑" w:eastAsia="微软雅黑" w:cs="Arial"/>
          <w:sz w:val="21"/>
          <w:szCs w:val="21"/>
        </w:rPr>
        <w:t>开发单位：苏州德融嘉信信用管理技术</w:t>
      </w:r>
      <w:r>
        <w:rPr>
          <w:rFonts w:hint="eastAsia" w:ascii="微软雅黑" w:hAnsi="微软雅黑" w:eastAsia="微软雅黑" w:cs="Arial"/>
          <w:sz w:val="21"/>
          <w:szCs w:val="21"/>
        </w:rPr>
        <w:t>股份</w:t>
      </w:r>
      <w:r>
        <w:rPr>
          <w:rFonts w:ascii="微软雅黑" w:hAnsi="微软雅黑" w:eastAsia="微软雅黑" w:cs="Arial"/>
          <w:sz w:val="21"/>
          <w:szCs w:val="21"/>
        </w:rPr>
        <w:t>有限公司</w:t>
      </w:r>
    </w:p>
    <w:p>
      <w:pPr>
        <w:spacing w:before="156" w:after="156" w:line="240" w:lineRule="auto"/>
        <w:ind w:firstLine="420"/>
        <w:rPr>
          <w:rFonts w:ascii="微软雅黑" w:hAnsi="微软雅黑" w:eastAsia="微软雅黑"/>
          <w:sz w:val="21"/>
          <w:szCs w:val="21"/>
        </w:rPr>
      </w:pPr>
      <w:r>
        <w:rPr>
          <w:rFonts w:hint="eastAsia" w:ascii="微软雅黑" w:hAnsi="微软雅黑" w:eastAsia="微软雅黑"/>
          <w:sz w:val="21"/>
          <w:szCs w:val="21"/>
        </w:rPr>
        <w:t>邮箱：</w:t>
      </w:r>
      <w:r>
        <w:fldChar w:fldCharType="begin"/>
      </w:r>
      <w:r>
        <w:instrText xml:space="preserve"> HYPERLINK "mailto:techsoft@sipac.gov.cn" </w:instrText>
      </w:r>
      <w:r>
        <w:fldChar w:fldCharType="separate"/>
      </w:r>
      <w:r>
        <w:rPr>
          <w:rStyle w:val="16"/>
          <w:rFonts w:hint="eastAsia" w:ascii="微软雅黑" w:hAnsi="微软雅黑" w:eastAsia="微软雅黑"/>
          <w:sz w:val="21"/>
          <w:szCs w:val="21"/>
        </w:rPr>
        <w:t>techsoft@sipac.gov.cn</w:t>
      </w:r>
      <w:r>
        <w:rPr>
          <w:rStyle w:val="16"/>
          <w:rFonts w:hint="eastAsia" w:ascii="微软雅黑" w:hAnsi="微软雅黑" w:eastAsia="微软雅黑"/>
          <w:sz w:val="21"/>
          <w:szCs w:val="21"/>
        </w:rPr>
        <w:fldChar w:fldCharType="end"/>
      </w:r>
    </w:p>
    <w:p>
      <w:pPr>
        <w:spacing w:before="156" w:after="156" w:line="240" w:lineRule="auto"/>
        <w:ind w:firstLine="420"/>
        <w:rPr>
          <w:rFonts w:ascii="微软雅黑" w:hAnsi="微软雅黑" w:eastAsia="微软雅黑"/>
          <w:sz w:val="21"/>
          <w:szCs w:val="21"/>
        </w:rPr>
      </w:pPr>
      <w:r>
        <w:rPr>
          <w:rFonts w:hint="eastAsia" w:ascii="微软雅黑" w:hAnsi="微软雅黑" w:eastAsia="微软雅黑"/>
          <w:sz w:val="21"/>
          <w:szCs w:val="21"/>
        </w:rPr>
        <w:t>电话：400-8696086</w:t>
      </w:r>
    </w:p>
    <w:p>
      <w:pPr>
        <w:spacing w:before="156" w:after="156" w:line="240" w:lineRule="auto"/>
        <w:ind w:firstLine="420"/>
        <w:rPr>
          <w:rFonts w:hint="eastAsia" w:ascii="微软雅黑" w:hAnsi="微软雅黑" w:eastAsia="微软雅黑"/>
          <w:sz w:val="21"/>
          <w:szCs w:val="21"/>
        </w:rPr>
      </w:pPr>
      <w:r>
        <w:rPr>
          <w:rFonts w:hint="eastAsia" w:ascii="微软雅黑" w:hAnsi="微软雅黑" w:eastAsia="微软雅黑"/>
          <w:sz w:val="21"/>
          <w:szCs w:val="21"/>
        </w:rPr>
        <w:t>技术支持微信：s18913131676，或者扫描下方二维码</w:t>
      </w:r>
    </w:p>
    <w:p>
      <w:pPr>
        <w:spacing w:before="156" w:after="156" w:line="240" w:lineRule="auto"/>
        <w:ind w:firstLine="420"/>
        <w:rPr>
          <w:rFonts w:ascii="微软雅黑" w:hAnsi="微软雅黑" w:eastAsia="微软雅黑"/>
          <w:sz w:val="21"/>
          <w:szCs w:val="21"/>
        </w:rPr>
      </w:pPr>
      <w:r>
        <w:rPr>
          <w:rFonts w:ascii="微软雅黑" w:hAnsi="微软雅黑" w:eastAsia="微软雅黑" w:cs="微软雅黑"/>
          <w:color w:val="000000" w:themeColor="text1"/>
          <w:shd w:val="clear" w:color="auto" w:fill="FFFFFF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1042670" cy="1042670"/>
            <wp:effectExtent l="9525" t="9525" r="14605" b="14605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47684" cy="104768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spacing w:before="120" w:after="120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spacing w:before="120" w:after="120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spacing w:before="120" w:after="120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spacing w:before="120" w:after="120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spacing w:before="120" w:after="120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spacing w:before="120" w:after="120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5B72AD"/>
    <w:multiLevelType w:val="multilevel"/>
    <w:tmpl w:val="3E5B72AD"/>
    <w:lvl w:ilvl="0" w:tentative="0">
      <w:start w:val="1"/>
      <w:numFmt w:val="decimal"/>
      <w:isLgl/>
      <w:suff w:val="space"/>
      <w:lvlText w:val="%1.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isLgl/>
      <w:suff w:val="space"/>
      <w:lvlText w:val="%1.%2."/>
      <w:lvlJc w:val="left"/>
      <w:pPr>
        <w:ind w:left="0" w:firstLine="0"/>
      </w:pPr>
      <w:rPr>
        <w:rFonts w:hint="eastAsia"/>
      </w:rPr>
    </w:lvl>
    <w:lvl w:ilvl="2" w:tentative="0">
      <w:start w:val="1"/>
      <w:numFmt w:val="decimal"/>
      <w:isLgl/>
      <w:suff w:val="space"/>
      <w:lvlText w:val="%1.%2.%3."/>
      <w:lvlJc w:val="left"/>
      <w:pPr>
        <w:ind w:left="1702" w:firstLine="0"/>
      </w:pPr>
      <w:rPr>
        <w:rFonts w:hint="eastAsia"/>
      </w:rPr>
    </w:lvl>
    <w:lvl w:ilvl="3" w:tentative="0">
      <w:start w:val="1"/>
      <w:numFmt w:val="decimal"/>
      <w:isLgl/>
      <w:suff w:val="space"/>
      <w:lvlText w:val="%1.%2.%3.%4."/>
      <w:lvlJc w:val="left"/>
      <w:pPr>
        <w:ind w:left="0" w:firstLine="0"/>
      </w:pPr>
      <w:rPr>
        <w:rFonts w:hint="eastAsia"/>
      </w:rPr>
    </w:lvl>
    <w:lvl w:ilvl="4" w:tentative="0">
      <w:start w:val="1"/>
      <w:numFmt w:val="decimal"/>
      <w:isLgl/>
      <w:suff w:val="space"/>
      <w:lvlText w:val="%1.%2.%3.%4.%5."/>
      <w:lvlJc w:val="left"/>
      <w:pPr>
        <w:ind w:left="0" w:firstLine="0"/>
      </w:pPr>
      <w:rPr>
        <w:rFonts w:hint="eastAsia"/>
      </w:rPr>
    </w:lvl>
    <w:lvl w:ilvl="5" w:tentative="0">
      <w:start w:val="1"/>
      <w:numFmt w:val="decimal"/>
      <w:pStyle w:val="5"/>
      <w:isLgl/>
      <w:suff w:val="space"/>
      <w:lvlText w:val="%1.%2.%3.%4.%5.%6."/>
      <w:lvlJc w:val="left"/>
      <w:pPr>
        <w:ind w:left="0" w:firstLine="0"/>
      </w:pPr>
      <w:rPr>
        <w:rFonts w:hint="eastAsia"/>
      </w:r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  <w:rPr>
        <w:rFonts w:hint="eastAsia"/>
      </w:r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  <w:rPr>
        <w:rFonts w:hint="eastAsia"/>
      </w:r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  <w:rPr>
        <w:rFonts w:hint="eastAsia"/>
      </w:rPr>
    </w:lvl>
  </w:abstractNum>
  <w:abstractNum w:abstractNumId="1">
    <w:nsid w:val="52A958A0"/>
    <w:multiLevelType w:val="multilevel"/>
    <w:tmpl w:val="52A958A0"/>
    <w:lvl w:ilvl="0" w:tentative="0">
      <w:start w:val="1"/>
      <w:numFmt w:val="japaneseCounting"/>
      <w:lvlText w:val="%1、"/>
      <w:lvlJc w:val="left"/>
      <w:pPr>
        <w:ind w:left="120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0" w:hanging="420"/>
      </w:pPr>
    </w:lvl>
    <w:lvl w:ilvl="2" w:tentative="0">
      <w:start w:val="1"/>
      <w:numFmt w:val="lowerRoman"/>
      <w:lvlText w:val="%3."/>
      <w:lvlJc w:val="right"/>
      <w:pPr>
        <w:ind w:left="1740" w:hanging="420"/>
      </w:pPr>
    </w:lvl>
    <w:lvl w:ilvl="3" w:tentative="0">
      <w:start w:val="1"/>
      <w:numFmt w:val="decimal"/>
      <w:lvlText w:val="%4."/>
      <w:lvlJc w:val="left"/>
      <w:pPr>
        <w:ind w:left="2160" w:hanging="420"/>
      </w:pPr>
    </w:lvl>
    <w:lvl w:ilvl="4" w:tentative="0">
      <w:start w:val="1"/>
      <w:numFmt w:val="lowerLetter"/>
      <w:lvlText w:val="%5)"/>
      <w:lvlJc w:val="left"/>
      <w:pPr>
        <w:ind w:left="2580" w:hanging="420"/>
      </w:pPr>
    </w:lvl>
    <w:lvl w:ilvl="5" w:tentative="0">
      <w:start w:val="1"/>
      <w:numFmt w:val="lowerRoman"/>
      <w:lvlText w:val="%6."/>
      <w:lvlJc w:val="right"/>
      <w:pPr>
        <w:ind w:left="3000" w:hanging="420"/>
      </w:pPr>
    </w:lvl>
    <w:lvl w:ilvl="6" w:tentative="0">
      <w:start w:val="1"/>
      <w:numFmt w:val="decimal"/>
      <w:lvlText w:val="%7."/>
      <w:lvlJc w:val="left"/>
      <w:pPr>
        <w:ind w:left="3420" w:hanging="420"/>
      </w:pPr>
    </w:lvl>
    <w:lvl w:ilvl="7" w:tentative="0">
      <w:start w:val="1"/>
      <w:numFmt w:val="lowerLetter"/>
      <w:lvlText w:val="%8)"/>
      <w:lvlJc w:val="left"/>
      <w:pPr>
        <w:ind w:left="3840" w:hanging="420"/>
      </w:pPr>
    </w:lvl>
    <w:lvl w:ilvl="8" w:tentative="0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RjOWZkZjkxN2RmN2NhZjliNDQ5ZTE2ZjQ1Zjc4ZDUifQ=="/>
  </w:docVars>
  <w:rsids>
    <w:rsidRoot w:val="00154984"/>
    <w:rsid w:val="00022FF3"/>
    <w:rsid w:val="000326AB"/>
    <w:rsid w:val="000B4334"/>
    <w:rsid w:val="000F175D"/>
    <w:rsid w:val="0015393F"/>
    <w:rsid w:val="00154984"/>
    <w:rsid w:val="001637C7"/>
    <w:rsid w:val="00187561"/>
    <w:rsid w:val="001965FB"/>
    <w:rsid w:val="001C5D2F"/>
    <w:rsid w:val="00212748"/>
    <w:rsid w:val="00227969"/>
    <w:rsid w:val="002711CF"/>
    <w:rsid w:val="002B4777"/>
    <w:rsid w:val="002F2998"/>
    <w:rsid w:val="00434E5A"/>
    <w:rsid w:val="00443468"/>
    <w:rsid w:val="00444ADB"/>
    <w:rsid w:val="004A5B41"/>
    <w:rsid w:val="004E0460"/>
    <w:rsid w:val="004E2E14"/>
    <w:rsid w:val="005A5944"/>
    <w:rsid w:val="005F49B8"/>
    <w:rsid w:val="00615D54"/>
    <w:rsid w:val="006241EE"/>
    <w:rsid w:val="0063477A"/>
    <w:rsid w:val="0063494D"/>
    <w:rsid w:val="0076320F"/>
    <w:rsid w:val="0078431A"/>
    <w:rsid w:val="007E23CC"/>
    <w:rsid w:val="007F5202"/>
    <w:rsid w:val="008215D2"/>
    <w:rsid w:val="00886516"/>
    <w:rsid w:val="008A25C9"/>
    <w:rsid w:val="008A4CAD"/>
    <w:rsid w:val="008E48C4"/>
    <w:rsid w:val="008F5F8E"/>
    <w:rsid w:val="0095013A"/>
    <w:rsid w:val="00954101"/>
    <w:rsid w:val="009631EF"/>
    <w:rsid w:val="009D0D4D"/>
    <w:rsid w:val="00A14C6D"/>
    <w:rsid w:val="00A65DF2"/>
    <w:rsid w:val="00AB44A6"/>
    <w:rsid w:val="00AB7583"/>
    <w:rsid w:val="00B86D85"/>
    <w:rsid w:val="00BA48C4"/>
    <w:rsid w:val="00C1771C"/>
    <w:rsid w:val="00C4017C"/>
    <w:rsid w:val="00CC3287"/>
    <w:rsid w:val="00CC541C"/>
    <w:rsid w:val="00D40AF3"/>
    <w:rsid w:val="00EA08A6"/>
    <w:rsid w:val="00EB7318"/>
    <w:rsid w:val="00EC317B"/>
    <w:rsid w:val="00EF70C8"/>
    <w:rsid w:val="00F50AC3"/>
    <w:rsid w:val="00F60EAF"/>
    <w:rsid w:val="00F947DD"/>
    <w:rsid w:val="00FF5CE7"/>
    <w:rsid w:val="05FD3EDD"/>
    <w:rsid w:val="06EF7EBD"/>
    <w:rsid w:val="075E7DCE"/>
    <w:rsid w:val="075F6EB2"/>
    <w:rsid w:val="076D15CF"/>
    <w:rsid w:val="0AD168FE"/>
    <w:rsid w:val="11ED671D"/>
    <w:rsid w:val="144B79BD"/>
    <w:rsid w:val="14C35FE1"/>
    <w:rsid w:val="156514CF"/>
    <w:rsid w:val="166A7CBF"/>
    <w:rsid w:val="17F95A9C"/>
    <w:rsid w:val="19750FE0"/>
    <w:rsid w:val="198253AE"/>
    <w:rsid w:val="19D63A14"/>
    <w:rsid w:val="1B416A2C"/>
    <w:rsid w:val="1C67332C"/>
    <w:rsid w:val="1EF36034"/>
    <w:rsid w:val="215C3DB6"/>
    <w:rsid w:val="22D310E0"/>
    <w:rsid w:val="28A63D9B"/>
    <w:rsid w:val="2A406432"/>
    <w:rsid w:val="32CE76E8"/>
    <w:rsid w:val="3459223B"/>
    <w:rsid w:val="366859E7"/>
    <w:rsid w:val="3B045166"/>
    <w:rsid w:val="3C6E4BC9"/>
    <w:rsid w:val="3F7F7DC4"/>
    <w:rsid w:val="40E952E6"/>
    <w:rsid w:val="414A27DB"/>
    <w:rsid w:val="442B1EDC"/>
    <w:rsid w:val="4BBE03A8"/>
    <w:rsid w:val="4D4C0131"/>
    <w:rsid w:val="537700C9"/>
    <w:rsid w:val="56746007"/>
    <w:rsid w:val="59AE2625"/>
    <w:rsid w:val="5BD114F8"/>
    <w:rsid w:val="5FBC14C5"/>
    <w:rsid w:val="60250735"/>
    <w:rsid w:val="60ED713C"/>
    <w:rsid w:val="6C136D6D"/>
    <w:rsid w:val="737C169B"/>
    <w:rsid w:val="73A126E8"/>
    <w:rsid w:val="7BAE6AB2"/>
    <w:rsid w:val="7F2D6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50" w:beforeLines="50" w:after="50" w:afterLines="50" w:line="360" w:lineRule="auto"/>
      <w:ind w:firstLine="200" w:firstLineChars="200"/>
      <w:jc w:val="both"/>
    </w:pPr>
    <w:rPr>
      <w:rFonts w:asciiTheme="minorHAnsi" w:hAnsiTheme="minorHAnsi" w:eastAsiaTheme="minorEastAsia" w:cstheme="minorBidi"/>
      <w:kern w:val="2"/>
      <w:sz w:val="24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beforeLines="0" w:after="330" w:afterLines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spacing w:before="260" w:beforeLines="0" w:after="260" w:afterLines="0" w:line="413" w:lineRule="auto"/>
      <w:outlineLvl w:val="2"/>
    </w:pPr>
    <w:rPr>
      <w:b/>
      <w:sz w:val="32"/>
    </w:rPr>
  </w:style>
  <w:style w:type="paragraph" w:styleId="5">
    <w:name w:val="heading 6"/>
    <w:next w:val="1"/>
    <w:qFormat/>
    <w:uiPriority w:val="0"/>
    <w:pPr>
      <w:keepNext/>
      <w:keepLines/>
      <w:numPr>
        <w:ilvl w:val="5"/>
        <w:numId w:val="1"/>
      </w:numPr>
      <w:adjustRightInd w:val="0"/>
      <w:snapToGrid w:val="0"/>
      <w:spacing w:before="50" w:beforeLines="50" w:line="360" w:lineRule="auto"/>
      <w:outlineLvl w:val="5"/>
    </w:pPr>
    <w:rPr>
      <w:rFonts w:ascii="Calibri" w:hAnsi="Calibri" w:eastAsia="宋体" w:cs="宋体"/>
      <w:b/>
      <w:snapToGrid w:val="0"/>
      <w:sz w:val="24"/>
      <w:szCs w:val="24"/>
      <w:lang w:val="en-US" w:eastAsia="zh-CN" w:bidi="ar-SA"/>
    </w:rPr>
  </w:style>
  <w:style w:type="paragraph" w:styleId="6">
    <w:name w:val="heading 7"/>
    <w:next w:val="1"/>
    <w:qFormat/>
    <w:uiPriority w:val="0"/>
    <w:pPr>
      <w:keepNext/>
      <w:keepLines/>
      <w:adjustRightInd w:val="0"/>
      <w:snapToGrid w:val="0"/>
      <w:spacing w:before="50" w:beforeLines="50" w:line="360" w:lineRule="auto"/>
      <w:ind w:left="482"/>
      <w:outlineLvl w:val="6"/>
    </w:pPr>
    <w:rPr>
      <w:rFonts w:ascii="Calibri" w:hAnsi="Calibri" w:eastAsia="宋体" w:cs="宋体"/>
      <w:b/>
      <w:snapToGrid w:val="0"/>
      <w:sz w:val="24"/>
      <w:szCs w:val="24"/>
      <w:lang w:val="en-US" w:eastAsia="zh-CN" w:bidi="ar-SA"/>
    </w:rPr>
  </w:style>
  <w:style w:type="character" w:default="1" w:styleId="14">
    <w:name w:val="Default Paragraph Font"/>
    <w:semiHidden/>
    <w:unhideWhenUsed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annotation text"/>
    <w:basedOn w:val="1"/>
    <w:link w:val="27"/>
    <w:semiHidden/>
    <w:unhideWhenUsed/>
    <w:qFormat/>
    <w:uiPriority w:val="99"/>
    <w:pPr>
      <w:jc w:val="left"/>
    </w:pPr>
  </w:style>
  <w:style w:type="paragraph" w:styleId="8">
    <w:name w:val="Balloon Text"/>
    <w:basedOn w:val="1"/>
    <w:link w:val="25"/>
    <w:semiHidden/>
    <w:unhideWhenUsed/>
    <w:qFormat/>
    <w:uiPriority w:val="99"/>
    <w:pPr>
      <w:spacing w:before="0" w:after="0" w:line="240" w:lineRule="auto"/>
    </w:pPr>
    <w:rPr>
      <w:sz w:val="18"/>
      <w:szCs w:val="18"/>
    </w:rPr>
  </w:style>
  <w:style w:type="paragraph" w:styleId="9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10">
    <w:name w:val="header"/>
    <w:basedOn w:val="1"/>
    <w:link w:val="2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1">
    <w:name w:val="Normal (Web)"/>
    <w:basedOn w:val="1"/>
    <w:semiHidden/>
    <w:unhideWhenUsed/>
    <w:qFormat/>
    <w:uiPriority w:val="99"/>
    <w:pPr>
      <w:widowControl/>
      <w:spacing w:before="100" w:beforeLines="0" w:beforeAutospacing="1" w:after="100" w:afterLines="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Cs w:val="24"/>
    </w:rPr>
  </w:style>
  <w:style w:type="paragraph" w:styleId="12">
    <w:name w:val="annotation subject"/>
    <w:basedOn w:val="7"/>
    <w:next w:val="7"/>
    <w:link w:val="28"/>
    <w:semiHidden/>
    <w:unhideWhenUsed/>
    <w:qFormat/>
    <w:uiPriority w:val="99"/>
    <w:rPr>
      <w:b/>
      <w:bCs/>
    </w:rPr>
  </w:style>
  <w:style w:type="character" w:styleId="15">
    <w:name w:val="FollowedHyperlink"/>
    <w:basedOn w:val="14"/>
    <w:semiHidden/>
    <w:unhideWhenUsed/>
    <w:qFormat/>
    <w:uiPriority w:val="99"/>
    <w:rPr>
      <w:color w:val="800080"/>
      <w:u w:val="single"/>
    </w:rPr>
  </w:style>
  <w:style w:type="character" w:styleId="16">
    <w:name w:val="Hyperlink"/>
    <w:basedOn w:val="14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17">
    <w:name w:val="annotation reference"/>
    <w:basedOn w:val="14"/>
    <w:semiHidden/>
    <w:unhideWhenUsed/>
    <w:qFormat/>
    <w:uiPriority w:val="99"/>
    <w:rPr>
      <w:sz w:val="21"/>
      <w:szCs w:val="21"/>
    </w:rPr>
  </w:style>
  <w:style w:type="character" w:customStyle="1" w:styleId="18">
    <w:name w:val="标题 1 字符"/>
    <w:basedOn w:val="14"/>
    <w:link w:val="2"/>
    <w:qFormat/>
    <w:uiPriority w:val="9"/>
    <w:rPr>
      <w:b/>
      <w:kern w:val="44"/>
      <w:sz w:val="44"/>
    </w:rPr>
  </w:style>
  <w:style w:type="character" w:customStyle="1" w:styleId="19">
    <w:name w:val="标题 2 字符"/>
    <w:basedOn w:val="14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0">
    <w:name w:val="页眉 字符"/>
    <w:basedOn w:val="14"/>
    <w:link w:val="10"/>
    <w:qFormat/>
    <w:uiPriority w:val="99"/>
    <w:rPr>
      <w:sz w:val="18"/>
      <w:szCs w:val="18"/>
    </w:rPr>
  </w:style>
  <w:style w:type="character" w:customStyle="1" w:styleId="21">
    <w:name w:val="页脚 字符"/>
    <w:basedOn w:val="14"/>
    <w:link w:val="9"/>
    <w:qFormat/>
    <w:uiPriority w:val="99"/>
    <w:rPr>
      <w:sz w:val="18"/>
      <w:szCs w:val="18"/>
    </w:rPr>
  </w:style>
  <w:style w:type="character" w:customStyle="1" w:styleId="22">
    <w:name w:val="未处理的提及1"/>
    <w:basedOn w:val="14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3">
    <w:name w:val="未处理的提及2"/>
    <w:basedOn w:val="14"/>
    <w:semiHidden/>
    <w:unhideWhenUsed/>
    <w:qFormat/>
    <w:uiPriority w:val="99"/>
    <w:rPr>
      <w:color w:val="605E5C"/>
      <w:shd w:val="clear" w:color="auto" w:fill="E1DFDD"/>
    </w:rPr>
  </w:style>
  <w:style w:type="paragraph" w:styleId="24">
    <w:name w:val="List Paragraph"/>
    <w:basedOn w:val="1"/>
    <w:qFormat/>
    <w:uiPriority w:val="34"/>
    <w:pPr>
      <w:ind w:firstLine="420"/>
    </w:pPr>
  </w:style>
  <w:style w:type="character" w:customStyle="1" w:styleId="25">
    <w:name w:val="批注框文本 字符"/>
    <w:basedOn w:val="14"/>
    <w:link w:val="8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6">
    <w:name w:val="未处理的提及3"/>
    <w:basedOn w:val="14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7">
    <w:name w:val="批注文字 字符"/>
    <w:basedOn w:val="14"/>
    <w:link w:val="7"/>
    <w:semiHidden/>
    <w:qFormat/>
    <w:uiPriority w:val="99"/>
    <w:rPr>
      <w:rFonts w:asciiTheme="minorHAnsi" w:hAnsiTheme="minorHAnsi" w:eastAsiaTheme="minorEastAsia" w:cstheme="minorBidi"/>
      <w:kern w:val="2"/>
      <w:sz w:val="24"/>
      <w:szCs w:val="22"/>
    </w:rPr>
  </w:style>
  <w:style w:type="character" w:customStyle="1" w:styleId="28">
    <w:name w:val="批注主题 字符"/>
    <w:basedOn w:val="27"/>
    <w:link w:val="12"/>
    <w:semiHidden/>
    <w:qFormat/>
    <w:uiPriority w:val="99"/>
    <w:rPr>
      <w:rFonts w:asciiTheme="minorHAnsi" w:hAnsiTheme="minorHAnsi" w:eastAsiaTheme="minorEastAsia" w:cstheme="minorBidi"/>
      <w:b/>
      <w:bCs/>
      <w:kern w:val="2"/>
      <w:sz w:val="24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5" Type="http://schemas.openxmlformats.org/officeDocument/2006/relationships/fontTable" Target="fontTable.xml"/><Relationship Id="rId24" Type="http://schemas.openxmlformats.org/officeDocument/2006/relationships/numbering" Target="numbering.xml"/><Relationship Id="rId23" Type="http://schemas.openxmlformats.org/officeDocument/2006/relationships/customXml" Target="../customXml/item1.xml"/><Relationship Id="rId22" Type="http://schemas.openxmlformats.org/officeDocument/2006/relationships/image" Target="media/image13.png"/><Relationship Id="rId21" Type="http://schemas.openxmlformats.org/officeDocument/2006/relationships/image" Target="media/image12.png"/><Relationship Id="rId20" Type="http://schemas.openxmlformats.org/officeDocument/2006/relationships/image" Target="media/image11.png"/><Relationship Id="rId2" Type="http://schemas.openxmlformats.org/officeDocument/2006/relationships/settings" Target="settings.xml"/><Relationship Id="rId19" Type="http://schemas.openxmlformats.org/officeDocument/2006/relationships/image" Target="media/image10.png"/><Relationship Id="rId18" Type="http://schemas.openxmlformats.org/officeDocument/2006/relationships/image" Target="media/image9.png"/><Relationship Id="rId17" Type="http://schemas.openxmlformats.org/officeDocument/2006/relationships/image" Target="media/image8.png"/><Relationship Id="rId16" Type="http://schemas.openxmlformats.org/officeDocument/2006/relationships/image" Target="media/image7.png"/><Relationship Id="rId15" Type="http://schemas.openxmlformats.org/officeDocument/2006/relationships/image" Target="media/image6.png"/><Relationship Id="rId14" Type="http://schemas.openxmlformats.org/officeDocument/2006/relationships/image" Target="media/image5.png"/><Relationship Id="rId13" Type="http://schemas.openxmlformats.org/officeDocument/2006/relationships/image" Target="media/image4.png"/><Relationship Id="rId12" Type="http://schemas.openxmlformats.org/officeDocument/2006/relationships/image" Target="media/image3.png"/><Relationship Id="rId11" Type="http://schemas.openxmlformats.org/officeDocument/2006/relationships/image" Target="media/image2.png"/><Relationship Id="rId10" Type="http://schemas.openxmlformats.org/officeDocument/2006/relationships/image" Target="media/image1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1025</Words>
  <Characters>1169</Characters>
  <Lines>9</Lines>
  <Paragraphs>2</Paragraphs>
  <TotalTime>0</TotalTime>
  <ScaleCrop>false</ScaleCrop>
  <LinksUpToDate>false</LinksUpToDate>
  <CharactersWithSpaces>1196</CharactersWithSpaces>
  <Application>WPS Office_11.1.0.10009_F1E327BC-269C-435d-A152-05C5408002CA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2020-08-28T11:29:00Z</dcterms:created>
  <dc:creator>365user19 365user19</dc:creator>
  <cp:lastModifiedBy>Administrator</cp:lastModifiedBy>
  <dcterms:modified xsi:type="dcterms:W3CDTF">2025-05-19T02:27:45Z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2052-11.1.0.10009</vt:lpwstr>
  </property>
  <property fmtid="{D5CDD505-2E9C-101B-9397-08002B2CF9AE}" pid="3" name="ICV">
    <vt:lpwstr>2EAFF8CFBB1B4FA6B97E496C88986B06_13</vt:lpwstr>
  </property>
  <property fmtid="{D5CDD505-2E9C-101B-9397-08002B2CF9AE}" pid="4" name="KSOTemplateDocerSaveRecord">
    <vt:lpwstr>eyJoZGlkIjoiNWRjOWZkZjkxN2RmN2NhZjliNDQ5ZTE2ZjQ1Zjc4ZDUiLCJ1c2VySWQiOiI1NjE2MDk0NzUifQ==</vt:lpwstr>
  </property>
</Properties>
</file>