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6F420A3">
      <w:pPr>
        <w:rPr>
          <w:rFonts w:hint="eastAsia" w:ascii="黑体" w:hAnsi="黑体" w:eastAsia="黑体"/>
          <w:color w:val="000000"/>
          <w:sz w:val="32"/>
          <w:szCs w:val="32"/>
        </w:rPr>
      </w:pPr>
      <w:r>
        <w:rPr>
          <w:rFonts w:hint="eastAsia" w:ascii="黑体" w:hAnsi="黑体" w:eastAsia="黑体"/>
          <w:color w:val="000000"/>
          <w:sz w:val="32"/>
          <w:szCs w:val="32"/>
        </w:rPr>
        <w:t>附件1</w:t>
      </w:r>
    </w:p>
    <w:p w14:paraId="2E94D466">
      <w:pPr>
        <w:rPr>
          <w:rFonts w:hint="eastAsia" w:ascii="黑体" w:hAnsi="黑体" w:eastAsia="黑体"/>
          <w:color w:val="000000"/>
          <w:sz w:val="32"/>
          <w:szCs w:val="32"/>
        </w:rPr>
      </w:pPr>
    </w:p>
    <w:p w14:paraId="1EA515F6">
      <w:pPr>
        <w:spacing w:after="0" w:line="700" w:lineRule="exact"/>
        <w:ind w:firstLine="440" w:firstLineChars="100"/>
        <w:jc w:val="center"/>
        <w:rPr>
          <w:rFonts w:hint="eastAsia" w:ascii="方正小标宋_GBK" w:hAnsi="宋体" w:eastAsia="方正小标宋_GBK"/>
          <w:bCs/>
          <w:color w:val="000000"/>
          <w:sz w:val="44"/>
          <w:szCs w:val="44"/>
        </w:rPr>
      </w:pPr>
      <w:r>
        <w:rPr>
          <w:rFonts w:hint="eastAsia" w:ascii="方正小标宋_GBK" w:hAnsi="宋体" w:eastAsia="方正小标宋_GBK"/>
          <w:bCs/>
          <w:color w:val="000000"/>
          <w:sz w:val="44"/>
          <w:szCs w:val="44"/>
        </w:rPr>
        <w:t>2026年度苏州市知识产权海外预警</w:t>
      </w:r>
    </w:p>
    <w:p w14:paraId="3E484E17">
      <w:pPr>
        <w:spacing w:after="0" w:line="700" w:lineRule="exact"/>
        <w:ind w:firstLine="440" w:firstLineChars="100"/>
        <w:jc w:val="center"/>
        <w:rPr>
          <w:rFonts w:hint="eastAsia" w:ascii="方正小标宋_GBK" w:hAnsi="宋体" w:eastAsia="方正小标宋_GBK"/>
          <w:bCs/>
          <w:color w:val="000000"/>
          <w:sz w:val="44"/>
          <w:szCs w:val="44"/>
        </w:rPr>
      </w:pPr>
      <w:r>
        <w:rPr>
          <w:rFonts w:hint="eastAsia" w:ascii="方正小标宋_GBK" w:hAnsi="宋体" w:eastAsia="方正小标宋_GBK"/>
          <w:bCs/>
          <w:color w:val="000000"/>
          <w:sz w:val="44"/>
          <w:szCs w:val="44"/>
        </w:rPr>
        <w:t>项目申报指南</w:t>
      </w:r>
    </w:p>
    <w:p w14:paraId="76E8AC62">
      <w:pPr>
        <w:spacing w:line="579" w:lineRule="exact"/>
        <w:ind w:firstLine="640" w:firstLineChars="200"/>
        <w:rPr>
          <w:rFonts w:ascii="仿宋_GB2312" w:eastAsia="仿宋_GB2312"/>
          <w:color w:val="000000"/>
          <w:sz w:val="32"/>
          <w:szCs w:val="32"/>
        </w:rPr>
      </w:pPr>
    </w:p>
    <w:p w14:paraId="572A183F">
      <w:pPr>
        <w:spacing w:after="0" w:line="579" w:lineRule="exact"/>
        <w:ind w:firstLine="640" w:firstLineChars="200"/>
        <w:rPr>
          <w:rFonts w:ascii="仿宋_GB2312" w:eastAsia="仿宋_GB2312"/>
          <w:color w:val="000000"/>
          <w:sz w:val="32"/>
          <w:szCs w:val="32"/>
        </w:rPr>
      </w:pPr>
      <w:r>
        <w:rPr>
          <w:rFonts w:hint="eastAsia" w:ascii="仿宋_GB2312" w:eastAsia="仿宋_GB2312"/>
          <w:color w:val="000000"/>
          <w:sz w:val="32"/>
          <w:szCs w:val="32"/>
        </w:rPr>
        <w:t>为贯彻落实国家、省关于强化知识产权工作的决策部署，全面深化知识产权强市建设，根据</w:t>
      </w:r>
      <w:r>
        <w:rPr>
          <w:rFonts w:hint="eastAsia" w:ascii="仿宋_GB2312" w:hAnsi="Times New Roman" w:eastAsia="仿宋_GB2312"/>
          <w:sz w:val="32"/>
          <w:szCs w:val="32"/>
        </w:rPr>
        <w:t>《苏州市实施知识产权“八大工程”全面支撑新质生产力发展行动计划（2024-2026年）》（苏府〔2024〕60号）、</w:t>
      </w:r>
      <w:r>
        <w:rPr>
          <w:rFonts w:hint="eastAsia" w:ascii="仿宋_GB2312" w:eastAsia="仿宋_GB2312"/>
          <w:color w:val="000000"/>
          <w:sz w:val="32"/>
          <w:szCs w:val="32"/>
        </w:rPr>
        <w:t>《苏州市市级市场监管（知识产权）专项资金管理办法》（</w:t>
      </w:r>
      <w:r>
        <w:rPr>
          <w:rFonts w:hint="eastAsia" w:ascii="仿宋_GB2312" w:hAnsi="Times New Roman" w:eastAsia="仿宋_GB2312"/>
          <w:sz w:val="32"/>
          <w:szCs w:val="32"/>
        </w:rPr>
        <w:t>苏财规〔2021〕</w:t>
      </w:r>
      <w:r>
        <w:rPr>
          <w:rFonts w:ascii="仿宋_GB2312" w:hAnsi="Times New Roman" w:eastAsia="仿宋_GB2312"/>
          <w:sz w:val="32"/>
          <w:szCs w:val="32"/>
        </w:rPr>
        <w:t>3</w:t>
      </w:r>
      <w:r>
        <w:rPr>
          <w:rFonts w:hint="eastAsia" w:ascii="仿宋_GB2312" w:hAnsi="Times New Roman" w:eastAsia="仿宋_GB2312"/>
          <w:sz w:val="32"/>
          <w:szCs w:val="32"/>
        </w:rPr>
        <w:t>号</w:t>
      </w:r>
      <w:r>
        <w:rPr>
          <w:rFonts w:hint="eastAsia" w:ascii="仿宋_GB2312" w:eastAsia="仿宋_GB2312"/>
          <w:color w:val="000000"/>
          <w:sz w:val="32"/>
          <w:szCs w:val="32"/>
        </w:rPr>
        <w:t>）要求，市市场监管局（知识产权局）决定开展企业知识产权海外预警工作，并制定本申报指南。</w:t>
      </w:r>
    </w:p>
    <w:p w14:paraId="04F1116A">
      <w:pPr>
        <w:spacing w:after="0" w:line="579" w:lineRule="exact"/>
        <w:ind w:firstLine="640" w:firstLineChars="200"/>
        <w:jc w:val="left"/>
        <w:rPr>
          <w:rFonts w:ascii="仿宋_GB2312" w:eastAsia="仿宋_GB2312"/>
          <w:color w:val="000000"/>
          <w:sz w:val="32"/>
          <w:szCs w:val="32"/>
        </w:rPr>
      </w:pPr>
      <w:r>
        <w:rPr>
          <w:rFonts w:hint="eastAsia" w:ascii="黑体" w:hAnsi="黑体" w:eastAsia="黑体"/>
          <w:color w:val="000000"/>
          <w:sz w:val="32"/>
          <w:szCs w:val="32"/>
        </w:rPr>
        <w:t>一、实施目标</w:t>
      </w:r>
    </w:p>
    <w:p w14:paraId="2F35D1E5">
      <w:pPr>
        <w:spacing w:after="0" w:line="579" w:lineRule="exact"/>
        <w:ind w:firstLine="640" w:firstLineChars="200"/>
        <w:rPr>
          <w:rFonts w:ascii="仿宋_GB2312" w:eastAsia="仿宋_GB2312"/>
          <w:color w:val="000000"/>
          <w:sz w:val="32"/>
          <w:szCs w:val="32"/>
        </w:rPr>
      </w:pPr>
      <w:r>
        <w:rPr>
          <w:rFonts w:hint="eastAsia" w:ascii="仿宋_GB2312" w:eastAsia="仿宋_GB2312"/>
          <w:color w:val="000000"/>
          <w:sz w:val="32"/>
          <w:szCs w:val="32"/>
        </w:rPr>
        <w:t>企业知识产权海外预警项目遵循“公开申报，专家评审，择优支持，注重实效”的原则，2</w:t>
      </w:r>
      <w:r>
        <w:rPr>
          <w:rFonts w:ascii="仿宋_GB2312" w:eastAsia="仿宋_GB2312"/>
          <w:color w:val="000000"/>
          <w:sz w:val="32"/>
          <w:szCs w:val="32"/>
        </w:rPr>
        <w:t>02</w:t>
      </w:r>
      <w:r>
        <w:rPr>
          <w:rFonts w:hint="eastAsia" w:ascii="仿宋_GB2312" w:eastAsia="仿宋_GB2312"/>
          <w:color w:val="000000"/>
          <w:sz w:val="32"/>
          <w:szCs w:val="32"/>
        </w:rPr>
        <w:t>6年计划通过公开招标购买服务的方式，对全市有海外市场或海外业务的企业共计</w:t>
      </w:r>
      <w:r>
        <w:rPr>
          <w:rFonts w:ascii="仿宋_GB2312" w:eastAsia="仿宋_GB2312"/>
          <w:color w:val="000000"/>
          <w:sz w:val="32"/>
          <w:szCs w:val="32"/>
        </w:rPr>
        <w:t>60</w:t>
      </w:r>
      <w:r>
        <w:rPr>
          <w:rFonts w:hint="eastAsia" w:ascii="仿宋_GB2312" w:eastAsia="仿宋_GB2312"/>
          <w:color w:val="000000"/>
          <w:sz w:val="32"/>
          <w:szCs w:val="32"/>
        </w:rPr>
        <w:t>项需求提供知识产权海外预警分析服务，帮助企业进行海外知识产权风险排查与预警分析，防范知识产权国际风险。</w:t>
      </w:r>
    </w:p>
    <w:p w14:paraId="3EC2157C">
      <w:pPr>
        <w:spacing w:after="0" w:line="579" w:lineRule="exact"/>
        <w:ind w:firstLine="640" w:firstLineChars="200"/>
        <w:jc w:val="left"/>
        <w:rPr>
          <w:rFonts w:ascii="仿宋_GB2312" w:eastAsia="仿宋_GB2312"/>
          <w:color w:val="000000"/>
          <w:sz w:val="32"/>
          <w:szCs w:val="32"/>
        </w:rPr>
      </w:pPr>
      <w:r>
        <w:rPr>
          <w:rFonts w:hint="eastAsia" w:ascii="黑体" w:hAnsi="黑体" w:eastAsia="黑体"/>
          <w:color w:val="000000"/>
          <w:sz w:val="32"/>
          <w:szCs w:val="32"/>
        </w:rPr>
        <w:t>二、支持重点</w:t>
      </w:r>
    </w:p>
    <w:p w14:paraId="36BF00FA">
      <w:pPr>
        <w:spacing w:after="0" w:line="579" w:lineRule="exact"/>
        <w:ind w:firstLine="640" w:firstLineChars="200"/>
        <w:rPr>
          <w:rFonts w:ascii="仿宋_GB2312" w:eastAsia="仿宋_GB2312"/>
          <w:color w:val="000000"/>
          <w:sz w:val="32"/>
          <w:szCs w:val="32"/>
        </w:rPr>
      </w:pPr>
      <w:r>
        <w:rPr>
          <w:rFonts w:hint="eastAsia" w:ascii="仿宋_GB2312" w:eastAsia="仿宋_GB2312"/>
          <w:color w:val="000000"/>
          <w:sz w:val="32"/>
          <w:szCs w:val="32"/>
        </w:rPr>
        <w:t>（一）</w:t>
      </w:r>
      <w:r>
        <w:rPr>
          <w:rFonts w:hint="eastAsia" w:ascii="仿宋_GB2312" w:hAnsi="仿宋" w:eastAsia="仿宋_GB2312" w:cs="仿宋"/>
          <w:color w:val="000000"/>
          <w:sz w:val="32"/>
          <w:szCs w:val="32"/>
        </w:rPr>
        <w:t>聚焦我市</w:t>
      </w:r>
      <w:r>
        <w:rPr>
          <w:rFonts w:hint="eastAsia" w:ascii="仿宋_GB2312" w:eastAsia="仿宋_GB2312"/>
          <w:color w:val="000000"/>
          <w:sz w:val="32"/>
          <w:szCs w:val="32"/>
        </w:rPr>
        <w:t>10个重点产业集群和30条重点产业链</w:t>
      </w:r>
      <w:r>
        <w:rPr>
          <w:rFonts w:hint="eastAsia" w:ascii="仿宋_GB2312" w:hAnsi="仿宋" w:eastAsia="仿宋_GB2312" w:cs="仿宋"/>
          <w:color w:val="000000"/>
          <w:sz w:val="32"/>
          <w:szCs w:val="32"/>
        </w:rPr>
        <w:t>的核心技术、关键共性技术领域。</w:t>
      </w:r>
    </w:p>
    <w:p w14:paraId="589542DF">
      <w:pPr>
        <w:pStyle w:val="5"/>
        <w:spacing w:after="0" w:line="579" w:lineRule="exact"/>
        <w:ind w:firstLine="660"/>
        <w:rPr>
          <w:rFonts w:hint="eastAsia" w:ascii="仿宋_GB2312" w:eastAsia="PMingLiU"/>
          <w:color w:val="000000"/>
          <w:sz w:val="32"/>
          <w:szCs w:val="32"/>
        </w:rPr>
      </w:pPr>
      <w:r>
        <w:rPr>
          <w:rFonts w:hint="eastAsia" w:ascii="仿宋_GB2312" w:hAnsi="Calibri" w:eastAsia="仿宋_GB2312" w:cs="Times New Roman"/>
          <w:color w:val="000000"/>
          <w:sz w:val="32"/>
          <w:szCs w:val="32"/>
          <w:lang w:val="en-US" w:eastAsia="zh-CN" w:bidi="ar-SA"/>
        </w:rPr>
        <w:t>（二）重点支持我市知识产</w:t>
      </w:r>
      <w:r>
        <w:rPr>
          <w:rFonts w:hint="eastAsia" w:ascii="仿宋_GB2312" w:eastAsia="仿宋_GB2312"/>
          <w:color w:val="000000"/>
          <w:sz w:val="32"/>
          <w:szCs w:val="32"/>
          <w:lang w:eastAsia="zh-CN"/>
        </w:rPr>
        <w:t>权优势企业、</w:t>
      </w:r>
      <w:r>
        <w:rPr>
          <w:rFonts w:hint="eastAsia" w:ascii="仿宋_GB2312" w:eastAsia="仿宋_GB2312"/>
          <w:color w:val="000000"/>
          <w:sz w:val="32"/>
          <w:szCs w:val="32"/>
        </w:rPr>
        <w:t>高新技术企业、创新创业人才项目企业、市级及以上专精特新“小巨人”企业、高成长创新型培育企业、瞪羚企业、独角兽企业、</w:t>
      </w:r>
      <w:r>
        <w:rPr>
          <w:rFonts w:ascii="仿宋_GB2312" w:eastAsia="仿宋_GB2312"/>
          <w:color w:val="000000"/>
          <w:sz w:val="32"/>
          <w:szCs w:val="32"/>
        </w:rPr>
        <w:t>知名品牌企业</w:t>
      </w:r>
      <w:r>
        <w:rPr>
          <w:rFonts w:hint="eastAsia" w:ascii="仿宋_GB2312" w:eastAsia="仿宋_GB2312"/>
          <w:color w:val="000000"/>
          <w:sz w:val="32"/>
          <w:szCs w:val="32"/>
        </w:rPr>
        <w:t>、</w:t>
      </w:r>
      <w:r>
        <w:rPr>
          <w:rFonts w:ascii="仿宋_GB2312" w:eastAsia="仿宋_GB2312"/>
          <w:color w:val="000000"/>
          <w:sz w:val="32"/>
          <w:szCs w:val="32"/>
        </w:rPr>
        <w:t>有自主品牌出</w:t>
      </w:r>
      <w:r>
        <w:rPr>
          <w:rFonts w:hint="eastAsia" w:ascii="仿宋_GB2312" w:eastAsia="仿宋_GB2312"/>
          <w:color w:val="000000"/>
          <w:sz w:val="32"/>
          <w:szCs w:val="32"/>
        </w:rPr>
        <w:t>口</w:t>
      </w:r>
      <w:r>
        <w:rPr>
          <w:rFonts w:hint="eastAsia" w:ascii="仿宋_GB2312" w:eastAsia="仿宋_GB2312"/>
          <w:color w:val="000000"/>
          <w:sz w:val="32"/>
          <w:szCs w:val="32"/>
          <w:lang w:eastAsia="zh-CN"/>
        </w:rPr>
        <w:t>的</w:t>
      </w:r>
      <w:r>
        <w:rPr>
          <w:rFonts w:hint="eastAsia" w:ascii="仿宋_GB2312" w:eastAsia="仿宋_GB2312"/>
          <w:color w:val="000000"/>
          <w:sz w:val="32"/>
          <w:szCs w:val="32"/>
          <w:lang w:val="en-US" w:eastAsia="zh-CN"/>
        </w:rPr>
        <w:t>创新</w:t>
      </w:r>
      <w:r>
        <w:rPr>
          <w:rFonts w:ascii="仿宋_GB2312" w:eastAsia="仿宋_GB2312"/>
          <w:color w:val="000000"/>
          <w:sz w:val="32"/>
          <w:szCs w:val="32"/>
        </w:rPr>
        <w:t>企业</w:t>
      </w:r>
      <w:r>
        <w:rPr>
          <w:rFonts w:hint="eastAsia" w:ascii="仿宋_GB2312" w:eastAsia="仿宋_GB2312"/>
          <w:color w:val="000000"/>
          <w:sz w:val="32"/>
          <w:szCs w:val="32"/>
          <w:lang w:eastAsia="zh-CN"/>
        </w:rPr>
        <w:t>、</w:t>
      </w:r>
      <w:r>
        <w:rPr>
          <w:rFonts w:hint="eastAsia" w:ascii="仿宋_GB2312" w:eastAsia="仿宋_GB2312"/>
          <w:color w:val="000000"/>
          <w:sz w:val="32"/>
          <w:szCs w:val="32"/>
        </w:rPr>
        <w:t>依靠核心技术发明专利</w:t>
      </w:r>
      <w:r>
        <w:rPr>
          <w:rFonts w:hint="eastAsia" w:ascii="仿宋_GB2312" w:eastAsia="仿宋_GB2312"/>
          <w:color w:val="000000"/>
          <w:sz w:val="32"/>
          <w:szCs w:val="32"/>
          <w:lang w:eastAsia="zh-CN"/>
        </w:rPr>
        <w:t>或高知名品牌</w:t>
      </w:r>
      <w:r>
        <w:rPr>
          <w:rFonts w:hint="eastAsia" w:ascii="仿宋_GB2312" w:eastAsia="仿宋_GB2312"/>
          <w:color w:val="000000"/>
          <w:sz w:val="32"/>
          <w:szCs w:val="32"/>
        </w:rPr>
        <w:t>获得市场竞争优势的创新型中小型企业等，</w:t>
      </w:r>
      <w:r>
        <w:rPr>
          <w:rFonts w:hint="eastAsia" w:ascii="仿宋_GB2312" w:eastAsia="仿宋_GB2312"/>
          <w:color w:val="000000"/>
          <w:sz w:val="32"/>
          <w:szCs w:val="32"/>
          <w:lang w:eastAsia="zh-CN"/>
        </w:rPr>
        <w:t>以及</w:t>
      </w:r>
      <w:r>
        <w:rPr>
          <w:rFonts w:ascii="仿宋_GB2312" w:eastAsia="仿宋_GB2312"/>
          <w:color w:val="000000"/>
          <w:sz w:val="32"/>
          <w:szCs w:val="32"/>
        </w:rPr>
        <w:t>其他享有较高知名度、急需加强</w:t>
      </w:r>
      <w:r>
        <w:rPr>
          <w:rFonts w:hint="eastAsia" w:ascii="仿宋_GB2312" w:eastAsia="仿宋_GB2312"/>
          <w:color w:val="000000"/>
          <w:sz w:val="32"/>
          <w:szCs w:val="32"/>
          <w:lang w:val="en-US"/>
        </w:rPr>
        <w:t>海外</w:t>
      </w:r>
      <w:r>
        <w:rPr>
          <w:rFonts w:ascii="仿宋_GB2312" w:eastAsia="仿宋_GB2312"/>
          <w:color w:val="000000"/>
          <w:sz w:val="32"/>
          <w:szCs w:val="32"/>
        </w:rPr>
        <w:t>知识产权保护的企业。</w:t>
      </w:r>
    </w:p>
    <w:p w14:paraId="71334CDC">
      <w:pPr>
        <w:pStyle w:val="5"/>
        <w:spacing w:after="0" w:line="579" w:lineRule="exact"/>
        <w:ind w:firstLine="660"/>
        <w:rPr>
          <w:rFonts w:hint="eastAsia" w:ascii="仿宋_GB2312" w:eastAsia="仿宋_GB2312"/>
          <w:color w:val="000000"/>
          <w:sz w:val="32"/>
          <w:szCs w:val="32"/>
        </w:rPr>
      </w:pPr>
      <w:r>
        <w:rPr>
          <w:rFonts w:hint="eastAsia" w:ascii="仿宋_GB2312" w:eastAsia="仿宋_GB2312"/>
          <w:color w:val="000000"/>
          <w:sz w:val="32"/>
          <w:szCs w:val="32"/>
        </w:rPr>
        <w:t>（三）重点支持在海外有开展经营且存在潜在知识产权法律风险的企业。海外预警分析报告可作为企业购买海外知识产权相关保险的重要参考和评估资料。</w:t>
      </w:r>
    </w:p>
    <w:p w14:paraId="58188AAF">
      <w:pPr>
        <w:spacing w:after="0" w:line="579" w:lineRule="exact"/>
        <w:ind w:firstLine="640" w:firstLineChars="200"/>
        <w:jc w:val="left"/>
        <w:rPr>
          <w:rFonts w:hint="eastAsia" w:ascii="黑体" w:hAnsi="黑体" w:eastAsia="黑体"/>
          <w:color w:val="000000"/>
          <w:sz w:val="32"/>
          <w:szCs w:val="32"/>
        </w:rPr>
      </w:pPr>
      <w:r>
        <w:rPr>
          <w:rFonts w:hint="eastAsia" w:ascii="黑体" w:hAnsi="黑体" w:eastAsia="黑体"/>
          <w:color w:val="000000"/>
          <w:sz w:val="32"/>
          <w:szCs w:val="32"/>
        </w:rPr>
        <w:t>三、申报主体</w:t>
      </w:r>
    </w:p>
    <w:p w14:paraId="408D31AB">
      <w:pPr>
        <w:spacing w:after="0" w:line="579" w:lineRule="exact"/>
        <w:ind w:firstLine="640" w:firstLineChars="200"/>
        <w:jc w:val="left"/>
        <w:rPr>
          <w:rFonts w:ascii="仿宋_GB2312" w:eastAsia="仿宋_GB2312"/>
          <w:color w:val="000000"/>
          <w:sz w:val="32"/>
          <w:szCs w:val="32"/>
        </w:rPr>
      </w:pPr>
      <w:r>
        <w:rPr>
          <w:rFonts w:hint="eastAsia" w:ascii="仿宋_GB2312" w:eastAsia="仿宋_GB2312"/>
          <w:color w:val="000000"/>
          <w:sz w:val="32"/>
          <w:szCs w:val="32"/>
        </w:rPr>
        <w:t>在我市</w:t>
      </w:r>
      <w:r>
        <w:rPr>
          <w:rFonts w:ascii="仿宋_GB2312" w:eastAsia="仿宋_GB2312"/>
          <w:color w:val="000000"/>
          <w:sz w:val="32"/>
          <w:szCs w:val="32"/>
        </w:rPr>
        <w:t>登记注册、具有独立法人资格的企事业单位</w:t>
      </w:r>
      <w:r>
        <w:rPr>
          <w:rFonts w:hint="eastAsia" w:ascii="仿宋_GB2312" w:eastAsia="仿宋_GB2312"/>
          <w:color w:val="000000"/>
          <w:sz w:val="32"/>
          <w:szCs w:val="32"/>
        </w:rPr>
        <w:t>，拥有自主知识产权，</w:t>
      </w:r>
      <w:r>
        <w:rPr>
          <w:rFonts w:ascii="仿宋_GB2312" w:eastAsia="仿宋_GB2312"/>
          <w:color w:val="000000"/>
          <w:sz w:val="32"/>
          <w:szCs w:val="32"/>
        </w:rPr>
        <w:t>已开展或计划开展海外市场经营活动、产品出口、技术合作、国际参展等涉外业务</w:t>
      </w:r>
      <w:r>
        <w:rPr>
          <w:rFonts w:hint="eastAsia" w:ascii="仿宋_GB2312" w:eastAsia="仿宋_GB2312"/>
          <w:color w:val="000000"/>
          <w:sz w:val="32"/>
          <w:szCs w:val="32"/>
        </w:rPr>
        <w:t>。</w:t>
      </w:r>
    </w:p>
    <w:p w14:paraId="03B73BA6">
      <w:pPr>
        <w:spacing w:after="0" w:line="579" w:lineRule="exact"/>
        <w:ind w:firstLine="640" w:firstLineChars="200"/>
        <w:jc w:val="left"/>
        <w:rPr>
          <w:rFonts w:ascii="仿宋_GB2312" w:eastAsia="仿宋_GB2312"/>
          <w:color w:val="000000"/>
          <w:sz w:val="32"/>
          <w:szCs w:val="32"/>
        </w:rPr>
      </w:pPr>
      <w:r>
        <w:rPr>
          <w:rFonts w:hint="eastAsia" w:ascii="黑体" w:hAnsi="黑体" w:eastAsia="黑体"/>
          <w:color w:val="000000"/>
          <w:sz w:val="32"/>
          <w:szCs w:val="32"/>
        </w:rPr>
        <w:t>四、申报条件</w:t>
      </w:r>
    </w:p>
    <w:p w14:paraId="27781092">
      <w:pPr>
        <w:spacing w:after="0" w:line="579" w:lineRule="exact"/>
        <w:ind w:firstLine="640" w:firstLineChars="200"/>
        <w:rPr>
          <w:rFonts w:ascii="仿宋_GB2312" w:eastAsia="仿宋_GB2312"/>
          <w:color w:val="000000"/>
          <w:sz w:val="32"/>
          <w:szCs w:val="32"/>
        </w:rPr>
      </w:pPr>
      <w:r>
        <w:rPr>
          <w:rFonts w:hint="eastAsia" w:ascii="仿宋_GB2312" w:eastAsia="仿宋_GB2312"/>
          <w:color w:val="000000"/>
          <w:sz w:val="32"/>
          <w:szCs w:val="32"/>
        </w:rPr>
        <w:t>（一）产业领域属于我市重点发展的战略性新兴产业和重点支持的主导产业，技术领域属于引领产业发展的高技术、新兴技术，技术特征具有较强的战略性、前瞻性、创新性。</w:t>
      </w:r>
    </w:p>
    <w:p w14:paraId="44206C88">
      <w:pPr>
        <w:spacing w:after="0" w:line="579" w:lineRule="exact"/>
        <w:ind w:firstLine="640" w:firstLineChars="200"/>
        <w:rPr>
          <w:rFonts w:ascii="仿宋_GB2312" w:eastAsia="仿宋_GB2312"/>
          <w:color w:val="000000"/>
          <w:sz w:val="32"/>
          <w:szCs w:val="32"/>
        </w:rPr>
      </w:pPr>
      <w:r>
        <w:rPr>
          <w:rFonts w:hint="eastAsia" w:ascii="仿宋_GB2312" w:eastAsia="仿宋_GB2312"/>
          <w:color w:val="000000"/>
          <w:sz w:val="32"/>
          <w:szCs w:val="32"/>
        </w:rPr>
        <w:t>（二）实施预警的产品有出口需求，计划在境外销售、许诺销售，或计划在境外参加商业性展会、开拓海外市场的。</w:t>
      </w:r>
    </w:p>
    <w:p w14:paraId="2AF07FCA">
      <w:pPr>
        <w:spacing w:after="0" w:line="579" w:lineRule="exact"/>
        <w:ind w:firstLine="640" w:firstLineChars="200"/>
        <w:rPr>
          <w:rFonts w:ascii="仿宋_GB2312" w:eastAsia="仿宋_GB2312"/>
          <w:color w:val="000000"/>
          <w:sz w:val="32"/>
          <w:szCs w:val="32"/>
        </w:rPr>
      </w:pPr>
      <w:r>
        <w:rPr>
          <w:rFonts w:hint="eastAsia" w:ascii="仿宋_GB2312" w:eastAsia="仿宋_GB2312"/>
          <w:color w:val="000000"/>
          <w:sz w:val="32"/>
          <w:szCs w:val="32"/>
        </w:rPr>
        <w:t>（三）对已在海外进行专利、商标布局，或者已提交PCT专利申请、商标国际注册申请的予以优先支持。</w:t>
      </w:r>
    </w:p>
    <w:p w14:paraId="67632ED0">
      <w:pPr>
        <w:spacing w:after="0" w:line="579" w:lineRule="exact"/>
        <w:ind w:firstLine="640" w:firstLineChars="200"/>
        <w:jc w:val="left"/>
        <w:rPr>
          <w:rFonts w:hint="eastAsia" w:ascii="仿宋_GB2312" w:hAnsi="黑体" w:eastAsia="仿宋_GB2312"/>
          <w:color w:val="000000"/>
          <w:sz w:val="32"/>
          <w:szCs w:val="32"/>
        </w:rPr>
      </w:pPr>
      <w:r>
        <w:rPr>
          <w:rFonts w:hint="eastAsia" w:ascii="仿宋_GB2312" w:eastAsia="仿宋_GB2312"/>
          <w:color w:val="000000"/>
          <w:sz w:val="32"/>
          <w:szCs w:val="32"/>
        </w:rPr>
        <w:t>（四）</w:t>
      </w:r>
      <w:r>
        <w:rPr>
          <w:rFonts w:hint="eastAsia" w:ascii="仿宋_GB2312" w:hAnsi="黑体" w:eastAsia="仿宋_GB2312"/>
          <w:color w:val="000000"/>
          <w:sz w:val="32"/>
          <w:szCs w:val="32"/>
        </w:rPr>
        <w:t>无严重失信行为，无非正常专利申请行为（以国家知识产权局通报为准）。</w:t>
      </w:r>
    </w:p>
    <w:p w14:paraId="6307D7DF">
      <w:pPr>
        <w:spacing w:after="0" w:line="579" w:lineRule="exact"/>
        <w:ind w:firstLine="640" w:firstLineChars="200"/>
        <w:jc w:val="left"/>
        <w:rPr>
          <w:rFonts w:ascii="仿宋_GB2312" w:eastAsia="仿宋_GB2312"/>
          <w:color w:val="000000"/>
          <w:sz w:val="32"/>
          <w:szCs w:val="32"/>
        </w:rPr>
      </w:pPr>
      <w:r>
        <w:rPr>
          <w:rFonts w:hint="eastAsia" w:ascii="黑体" w:hAnsi="黑体" w:eastAsia="黑体"/>
          <w:color w:val="000000"/>
          <w:sz w:val="32"/>
          <w:szCs w:val="32"/>
        </w:rPr>
        <w:t>五、组织方式</w:t>
      </w:r>
    </w:p>
    <w:p w14:paraId="3EF17EF2">
      <w:pPr>
        <w:spacing w:after="0" w:line="579" w:lineRule="exact"/>
        <w:ind w:firstLine="640" w:firstLineChars="200"/>
        <w:rPr>
          <w:rFonts w:hint="eastAsia" w:ascii="楷体_GB2312" w:hAnsi="楷体_GB2312" w:eastAsia="楷体_GB2312" w:cs="楷体_GB2312"/>
          <w:color w:val="000000"/>
          <w:sz w:val="32"/>
          <w:szCs w:val="32"/>
        </w:rPr>
      </w:pPr>
      <w:r>
        <w:rPr>
          <w:rFonts w:hint="eastAsia" w:ascii="楷体_GB2312" w:hAnsi="楷体_GB2312" w:eastAsia="楷体_GB2312" w:cs="楷体_GB2312"/>
          <w:color w:val="000000"/>
          <w:sz w:val="32"/>
          <w:szCs w:val="32"/>
        </w:rPr>
        <w:t>（一）申报</w:t>
      </w:r>
    </w:p>
    <w:p w14:paraId="519FEA32">
      <w:pPr>
        <w:wordWrap w:val="0"/>
        <w:spacing w:after="0" w:line="579" w:lineRule="exact"/>
        <w:ind w:firstLine="640" w:firstLineChars="200"/>
        <w:rPr>
          <w:rFonts w:ascii="仿宋_GB2312" w:eastAsia="仿宋_GB2312"/>
          <w:color w:val="000000"/>
          <w:sz w:val="32"/>
          <w:szCs w:val="32"/>
        </w:rPr>
      </w:pPr>
      <w:r>
        <w:rPr>
          <w:rFonts w:hint="eastAsia" w:ascii="仿宋_GB2312" w:eastAsia="仿宋_GB2312"/>
          <w:color w:val="000000"/>
          <w:sz w:val="32"/>
          <w:szCs w:val="32"/>
        </w:rPr>
        <w:t>1</w:t>
      </w:r>
      <w:r>
        <w:rPr>
          <w:rFonts w:ascii="仿宋_GB2312" w:eastAsia="仿宋_GB2312"/>
          <w:color w:val="000000"/>
          <w:sz w:val="32"/>
          <w:szCs w:val="32"/>
        </w:rPr>
        <w:t>.</w:t>
      </w:r>
      <w:r>
        <w:rPr>
          <w:rFonts w:hint="eastAsia" w:ascii="仿宋_GB2312" w:eastAsia="仿宋_GB2312"/>
          <w:color w:val="000000"/>
          <w:sz w:val="32"/>
          <w:szCs w:val="32"/>
        </w:rPr>
        <w:t>申报人申报本项目的，应同时进行网上与书面申报，申报内容应确保一致。网上申报材料通过“苏州市知识产权一站式服务平台”（地址：http://szipa.scjgj.suzhou.com.cn:8089/web/home）报送（平台申报操作详见附件3）。网上申报材料提交后，申报单位应将系统生成的项目申报书用A4纸打印，加盖单位公章后，按项目申报书、附件材料顺序装订成册（纸质封面，平装订，一式一份），报送至所在地市场监管局（知识产权局）进行初审。</w:t>
      </w:r>
    </w:p>
    <w:p w14:paraId="7EE869A9">
      <w:pPr>
        <w:spacing w:after="0" w:line="579" w:lineRule="exact"/>
        <w:ind w:firstLine="640" w:firstLineChars="200"/>
        <w:rPr>
          <w:rFonts w:ascii="仿宋_GB2312" w:eastAsia="仿宋_GB2312"/>
          <w:color w:val="000000"/>
          <w:sz w:val="32"/>
          <w:szCs w:val="32"/>
        </w:rPr>
      </w:pPr>
      <w:r>
        <w:rPr>
          <w:rFonts w:hint="eastAsia" w:ascii="仿宋_GB2312" w:eastAsia="仿宋_GB2312"/>
          <w:color w:val="000000"/>
          <w:sz w:val="32"/>
          <w:szCs w:val="32"/>
        </w:rPr>
        <w:t>2</w:t>
      </w:r>
      <w:r>
        <w:rPr>
          <w:rFonts w:ascii="仿宋_GB2312" w:eastAsia="仿宋_GB2312"/>
          <w:color w:val="000000"/>
          <w:sz w:val="32"/>
          <w:szCs w:val="32"/>
        </w:rPr>
        <w:t>.</w:t>
      </w:r>
      <w:r>
        <w:rPr>
          <w:rFonts w:hint="eastAsia" w:ascii="仿宋_GB2312" w:eastAsia="仿宋_GB2312"/>
          <w:color w:val="000000"/>
          <w:sz w:val="32"/>
          <w:szCs w:val="32"/>
        </w:rPr>
        <w:t>申请专利预警分析的，每个申报人原则上只对一款专利产品或一个技术方案在一个目标国家或地区提出专利海外预警分析需求。如有一个技术方案应用于多款产品的，应当属于围绕同一技术平台的系列产品，且需提供相关佐证材料。对确有多个需求的企业，允许其基于不同的专利产品或技术方案适当增报需求，经专家评审后结合项目实施情况予以支持。</w:t>
      </w:r>
    </w:p>
    <w:p w14:paraId="352A6F02">
      <w:pPr>
        <w:spacing w:after="0" w:line="579" w:lineRule="exact"/>
        <w:ind w:firstLine="640" w:firstLineChars="200"/>
        <w:rPr>
          <w:rFonts w:ascii="仿宋_GB2312" w:eastAsia="仿宋_GB2312"/>
          <w:color w:val="000000"/>
          <w:sz w:val="32"/>
          <w:szCs w:val="32"/>
        </w:rPr>
      </w:pPr>
      <w:r>
        <w:rPr>
          <w:rFonts w:ascii="仿宋_GB2312" w:eastAsia="仿宋_GB2312"/>
          <w:color w:val="000000"/>
          <w:sz w:val="32"/>
          <w:szCs w:val="32"/>
        </w:rPr>
        <w:t>3.</w:t>
      </w:r>
      <w:r>
        <w:rPr>
          <w:rFonts w:hint="eastAsia" w:ascii="仿宋_GB2312" w:eastAsia="仿宋_GB2312"/>
          <w:color w:val="000000"/>
          <w:sz w:val="32"/>
          <w:szCs w:val="32"/>
        </w:rPr>
        <w:t>申请商标预警分析的，每个申报人原则上只针对一个商标尼斯</w:t>
      </w:r>
      <w:r>
        <w:rPr>
          <w:rFonts w:ascii="仿宋_GB2312" w:eastAsia="仿宋_GB2312"/>
          <w:color w:val="000000"/>
          <w:sz w:val="32"/>
          <w:szCs w:val="32"/>
        </w:rPr>
        <w:t>类别</w:t>
      </w:r>
      <w:r>
        <w:rPr>
          <w:rFonts w:hint="eastAsia" w:ascii="仿宋_GB2312" w:eastAsia="仿宋_GB2312"/>
          <w:color w:val="000000"/>
          <w:sz w:val="32"/>
          <w:szCs w:val="32"/>
        </w:rPr>
        <w:t>在一个目标国家或地区提出商标海外布局预警分析需求。</w:t>
      </w:r>
    </w:p>
    <w:p w14:paraId="37F167E2">
      <w:pPr>
        <w:spacing w:after="0" w:line="579" w:lineRule="exact"/>
        <w:ind w:firstLine="640" w:firstLineChars="200"/>
        <w:rPr>
          <w:rFonts w:hint="eastAsia" w:ascii="楷体_GB2312" w:hAnsi="楷体_GB2312" w:eastAsia="楷体_GB2312" w:cs="楷体_GB2312"/>
          <w:color w:val="000000"/>
          <w:sz w:val="32"/>
          <w:szCs w:val="32"/>
        </w:rPr>
      </w:pPr>
      <w:r>
        <w:rPr>
          <w:rFonts w:hint="eastAsia" w:ascii="楷体_GB2312" w:hAnsi="楷体_GB2312" w:eastAsia="楷体_GB2312" w:cs="楷体_GB2312"/>
          <w:color w:val="000000"/>
          <w:sz w:val="32"/>
          <w:szCs w:val="32"/>
        </w:rPr>
        <w:t>（二）审核</w:t>
      </w:r>
    </w:p>
    <w:p w14:paraId="432B1FDE">
      <w:pPr>
        <w:spacing w:after="0" w:line="579" w:lineRule="exact"/>
        <w:ind w:firstLine="640" w:firstLineChars="200"/>
        <w:rPr>
          <w:rFonts w:ascii="仿宋_GB2312" w:eastAsia="仿宋_GB2312"/>
          <w:color w:val="000000"/>
          <w:sz w:val="32"/>
          <w:szCs w:val="32"/>
        </w:rPr>
      </w:pPr>
      <w:r>
        <w:rPr>
          <w:rFonts w:hint="eastAsia" w:ascii="仿宋_GB2312" w:eastAsia="仿宋_GB2312"/>
          <w:color w:val="000000"/>
          <w:sz w:val="32"/>
          <w:szCs w:val="32"/>
        </w:rPr>
        <w:t>各市、区市场监管局（知识产权局）对企业申报材料进行初审，并将符合条件的申报汇总表、纸质和电子版申报材料一并报市市场监管局（知识产权局）。</w:t>
      </w:r>
    </w:p>
    <w:p w14:paraId="68726E86">
      <w:pPr>
        <w:spacing w:after="0" w:line="579" w:lineRule="exact"/>
        <w:ind w:firstLine="640" w:firstLineChars="200"/>
        <w:rPr>
          <w:rFonts w:hint="eastAsia" w:ascii="楷体_GB2312" w:hAnsi="楷体_GB2312" w:eastAsia="楷体_GB2312" w:cs="楷体_GB2312"/>
          <w:color w:val="000000"/>
          <w:sz w:val="32"/>
          <w:szCs w:val="32"/>
        </w:rPr>
      </w:pPr>
      <w:r>
        <w:rPr>
          <w:rFonts w:hint="eastAsia" w:ascii="楷体_GB2312" w:hAnsi="楷体_GB2312" w:eastAsia="楷体_GB2312" w:cs="楷体_GB2312"/>
          <w:color w:val="000000"/>
          <w:sz w:val="32"/>
          <w:szCs w:val="32"/>
        </w:rPr>
        <w:t>（三）公开招标</w:t>
      </w:r>
    </w:p>
    <w:p w14:paraId="0906F395">
      <w:pPr>
        <w:spacing w:after="0" w:line="579" w:lineRule="exact"/>
        <w:ind w:firstLine="640" w:firstLineChars="200"/>
        <w:rPr>
          <w:rFonts w:ascii="仿宋_GB2312" w:eastAsia="仿宋_GB2312"/>
          <w:color w:val="000000"/>
          <w:sz w:val="32"/>
          <w:szCs w:val="32"/>
        </w:rPr>
      </w:pPr>
      <w:r>
        <w:rPr>
          <w:rFonts w:hint="eastAsia" w:ascii="仿宋_GB2312" w:eastAsia="仿宋_GB2312"/>
          <w:color w:val="000000"/>
          <w:sz w:val="32"/>
          <w:szCs w:val="32"/>
        </w:rPr>
        <w:t>根据专家评审意见，经市市场监管局（知识产权局）党组会议或局长办公会同意，对予以支持的预警项目通过政府购买服务的方式，按照政府采购程序公开向社会招标，遴选具备海外知识产权预警分析能力的</w:t>
      </w:r>
      <w:bookmarkStart w:id="0" w:name="_GoBack"/>
      <w:bookmarkEnd w:id="0"/>
      <w:r>
        <w:rPr>
          <w:rFonts w:hint="eastAsia" w:ascii="仿宋_GB2312" w:eastAsia="仿宋_GB2312"/>
          <w:color w:val="000000"/>
          <w:sz w:val="32"/>
          <w:szCs w:val="32"/>
        </w:rPr>
        <w:t>专业机构。</w:t>
      </w:r>
    </w:p>
    <w:p w14:paraId="6ABB59FE">
      <w:pPr>
        <w:spacing w:after="0" w:line="579" w:lineRule="exact"/>
        <w:ind w:firstLine="640" w:firstLineChars="200"/>
        <w:rPr>
          <w:rFonts w:hint="eastAsia" w:ascii="楷体_GB2312" w:hAnsi="楷体_GB2312" w:eastAsia="楷体_GB2312" w:cs="楷体_GB2312"/>
          <w:color w:val="000000"/>
          <w:sz w:val="32"/>
          <w:szCs w:val="32"/>
        </w:rPr>
      </w:pPr>
      <w:r>
        <w:rPr>
          <w:rFonts w:hint="eastAsia" w:ascii="楷体_GB2312" w:hAnsi="楷体_GB2312" w:eastAsia="楷体_GB2312" w:cs="楷体_GB2312"/>
          <w:color w:val="000000"/>
          <w:sz w:val="32"/>
          <w:szCs w:val="32"/>
        </w:rPr>
        <w:t>（四）组织实施</w:t>
      </w:r>
    </w:p>
    <w:p w14:paraId="30784E53">
      <w:pPr>
        <w:spacing w:after="0" w:line="579" w:lineRule="exact"/>
        <w:ind w:firstLine="640" w:firstLineChars="200"/>
        <w:rPr>
          <w:rFonts w:ascii="仿宋_GB2312" w:eastAsia="仿宋_GB2312"/>
          <w:color w:val="000000"/>
          <w:sz w:val="32"/>
          <w:szCs w:val="32"/>
        </w:rPr>
      </w:pPr>
      <w:r>
        <w:rPr>
          <w:rFonts w:hint="eastAsia" w:ascii="仿宋_GB2312" w:eastAsia="仿宋_GB2312"/>
          <w:color w:val="000000"/>
          <w:sz w:val="32"/>
          <w:szCs w:val="32"/>
        </w:rPr>
        <w:t>根据招标结果，由中标专业机构对接企业，提供知识产权海外预警分析服务，根据企业需求，在合同签订后三个月至六个月内形成并提交知识产权海外预警分析报告及</w:t>
      </w:r>
      <w:r>
        <w:rPr>
          <w:rFonts w:ascii="仿宋_GB2312" w:eastAsia="仿宋_GB2312"/>
          <w:color w:val="000000"/>
          <w:sz w:val="32"/>
          <w:szCs w:val="32"/>
        </w:rPr>
        <w:t>相</w:t>
      </w:r>
      <w:r>
        <w:rPr>
          <w:rFonts w:hint="eastAsia" w:ascii="仿宋_GB2312" w:eastAsia="仿宋_GB2312"/>
          <w:color w:val="000000"/>
          <w:sz w:val="32"/>
          <w:szCs w:val="32"/>
        </w:rPr>
        <w:t>关材料。服务期间，中标机构应至少提交一次服务中期情况说明。</w:t>
      </w:r>
    </w:p>
    <w:p w14:paraId="126192F5">
      <w:pPr>
        <w:spacing w:after="0" w:line="579" w:lineRule="exact"/>
        <w:ind w:firstLine="640" w:firstLineChars="200"/>
        <w:rPr>
          <w:rFonts w:hint="eastAsia" w:ascii="楷体_GB2312" w:hAnsi="楷体_GB2312" w:eastAsia="楷体_GB2312" w:cs="楷体_GB2312"/>
          <w:color w:val="000000"/>
          <w:sz w:val="32"/>
          <w:szCs w:val="32"/>
        </w:rPr>
      </w:pPr>
      <w:r>
        <w:rPr>
          <w:rFonts w:hint="eastAsia" w:ascii="楷体_GB2312" w:hAnsi="楷体_GB2312" w:eastAsia="楷体_GB2312" w:cs="楷体_GB2312"/>
          <w:color w:val="000000"/>
          <w:sz w:val="32"/>
          <w:szCs w:val="32"/>
        </w:rPr>
        <w:t>（五）验收</w:t>
      </w:r>
    </w:p>
    <w:p w14:paraId="444F7B73">
      <w:pPr>
        <w:spacing w:after="0" w:line="579" w:lineRule="exact"/>
        <w:ind w:firstLine="640" w:firstLineChars="200"/>
        <w:rPr>
          <w:rFonts w:ascii="仿宋_GB2312" w:eastAsia="仿宋_GB2312"/>
          <w:color w:val="000000"/>
          <w:sz w:val="32"/>
          <w:szCs w:val="32"/>
        </w:rPr>
      </w:pPr>
      <w:r>
        <w:rPr>
          <w:rFonts w:hint="eastAsia" w:ascii="仿宋_GB2312" w:eastAsia="仿宋_GB2312"/>
          <w:color w:val="000000"/>
          <w:sz w:val="32"/>
          <w:szCs w:val="32"/>
        </w:rPr>
        <w:t>在项目实施期满之后，由市市场监管局（知识产权局）组织项目验收小组对各中标服务机构完成的知识产权海外预警分析报告进行评审验收，具体验收标准及资金支付方式以招标公告为准。</w:t>
      </w:r>
    </w:p>
    <w:p w14:paraId="383FB854">
      <w:pPr>
        <w:spacing w:after="0" w:line="579" w:lineRule="exact"/>
        <w:ind w:firstLine="640" w:firstLineChars="200"/>
        <w:jc w:val="left"/>
        <w:rPr>
          <w:rFonts w:ascii="仿宋_GB2312" w:eastAsia="仿宋_GB2312"/>
          <w:color w:val="000000"/>
          <w:sz w:val="32"/>
          <w:szCs w:val="32"/>
        </w:rPr>
      </w:pPr>
      <w:r>
        <w:rPr>
          <w:rFonts w:hint="eastAsia" w:ascii="黑体" w:hAnsi="黑体" w:eastAsia="黑体"/>
          <w:color w:val="000000"/>
          <w:sz w:val="32"/>
          <w:szCs w:val="32"/>
        </w:rPr>
        <w:t>六、申报要求</w:t>
      </w:r>
    </w:p>
    <w:p w14:paraId="7F8F4847">
      <w:pPr>
        <w:spacing w:after="0" w:line="579" w:lineRule="exact"/>
        <w:ind w:firstLine="640" w:firstLineChars="200"/>
        <w:rPr>
          <w:rFonts w:ascii="仿宋_GB2312" w:eastAsia="仿宋_GB2312"/>
          <w:color w:val="000000"/>
          <w:sz w:val="32"/>
          <w:szCs w:val="32"/>
        </w:rPr>
      </w:pPr>
      <w:r>
        <w:rPr>
          <w:rFonts w:hint="eastAsia" w:ascii="仿宋_GB2312" w:eastAsia="仿宋_GB2312"/>
          <w:color w:val="000000"/>
          <w:sz w:val="32"/>
          <w:szCs w:val="32"/>
        </w:rPr>
        <w:t>申报材料须包括以下内容：</w:t>
      </w:r>
    </w:p>
    <w:p w14:paraId="36D4BCDC">
      <w:pPr>
        <w:spacing w:after="0" w:line="579" w:lineRule="exact"/>
        <w:ind w:firstLine="640" w:firstLineChars="200"/>
        <w:rPr>
          <w:rFonts w:ascii="仿宋_GB2312" w:eastAsia="仿宋_GB2312"/>
          <w:color w:val="000000"/>
          <w:sz w:val="32"/>
          <w:szCs w:val="32"/>
        </w:rPr>
      </w:pPr>
      <w:r>
        <w:rPr>
          <w:rFonts w:hint="eastAsia" w:ascii="仿宋_GB2312" w:eastAsia="仿宋_GB2312"/>
          <w:color w:val="000000"/>
          <w:sz w:val="32"/>
          <w:szCs w:val="32"/>
        </w:rPr>
        <w:t>1.《苏州市知识产权海外预警项目申报书》；</w:t>
      </w:r>
    </w:p>
    <w:p w14:paraId="1A5E2183">
      <w:pPr>
        <w:spacing w:after="0" w:line="579" w:lineRule="exact"/>
        <w:ind w:firstLine="640" w:firstLineChars="200"/>
        <w:rPr>
          <w:rFonts w:ascii="仿宋_GB2312" w:eastAsia="仿宋_GB2312"/>
          <w:color w:val="000000"/>
          <w:sz w:val="32"/>
          <w:szCs w:val="32"/>
        </w:rPr>
      </w:pPr>
      <w:r>
        <w:rPr>
          <w:rFonts w:hint="eastAsia" w:ascii="仿宋_GB2312" w:eastAsia="仿宋_GB2312"/>
          <w:color w:val="000000"/>
          <w:sz w:val="32"/>
          <w:szCs w:val="32"/>
        </w:rPr>
        <w:t>2.单位承诺书；</w:t>
      </w:r>
      <w:r>
        <w:rPr>
          <w:rFonts w:ascii="仿宋_GB2312" w:eastAsia="仿宋_GB2312"/>
          <w:color w:val="000000"/>
          <w:sz w:val="32"/>
          <w:szCs w:val="32"/>
        </w:rPr>
        <w:t xml:space="preserve"> </w:t>
      </w:r>
    </w:p>
    <w:p w14:paraId="28384D0C">
      <w:pPr>
        <w:spacing w:after="0" w:line="579" w:lineRule="exact"/>
        <w:ind w:firstLine="640" w:firstLineChars="200"/>
        <w:rPr>
          <w:rFonts w:ascii="仿宋_GB2312" w:eastAsia="仿宋_GB2312"/>
          <w:color w:val="000000"/>
          <w:sz w:val="32"/>
          <w:szCs w:val="32"/>
        </w:rPr>
      </w:pPr>
      <w:r>
        <w:rPr>
          <w:rFonts w:hint="eastAsia" w:ascii="仿宋_GB2312" w:eastAsia="仿宋_GB2312"/>
          <w:color w:val="000000"/>
          <w:sz w:val="32"/>
          <w:szCs w:val="32"/>
        </w:rPr>
        <w:t>3</w:t>
      </w:r>
      <w:r>
        <w:rPr>
          <w:rFonts w:ascii="仿宋_GB2312" w:eastAsia="仿宋_GB2312"/>
          <w:color w:val="000000"/>
          <w:sz w:val="32"/>
          <w:szCs w:val="32"/>
        </w:rPr>
        <w:t>.</w:t>
      </w:r>
      <w:r>
        <w:rPr>
          <w:rFonts w:hint="eastAsia" w:ascii="仿宋_GB2312" w:eastAsia="仿宋_GB2312"/>
          <w:color w:val="000000"/>
          <w:sz w:val="32"/>
          <w:szCs w:val="32"/>
        </w:rPr>
        <w:t>申报人营业执照副本复印件或法人登记证书复印件；</w:t>
      </w:r>
    </w:p>
    <w:p w14:paraId="12F09084">
      <w:pPr>
        <w:spacing w:after="0" w:line="579" w:lineRule="exact"/>
        <w:ind w:firstLine="640" w:firstLineChars="200"/>
        <w:rPr>
          <w:rFonts w:ascii="仿宋_GB2312" w:eastAsia="仿宋_GB2312"/>
          <w:color w:val="000000"/>
          <w:sz w:val="32"/>
          <w:szCs w:val="32"/>
        </w:rPr>
      </w:pPr>
      <w:r>
        <w:rPr>
          <w:rFonts w:hint="eastAsia" w:ascii="仿宋_GB2312" w:eastAsia="仿宋_GB2312"/>
          <w:color w:val="000000"/>
          <w:sz w:val="32"/>
          <w:szCs w:val="32"/>
        </w:rPr>
        <w:t>4</w:t>
      </w:r>
      <w:r>
        <w:rPr>
          <w:rFonts w:ascii="仿宋_GB2312" w:eastAsia="仿宋_GB2312"/>
          <w:color w:val="000000"/>
          <w:sz w:val="32"/>
          <w:szCs w:val="32"/>
        </w:rPr>
        <w:t>.</w:t>
      </w:r>
      <w:r>
        <w:rPr>
          <w:rFonts w:hint="eastAsia" w:ascii="仿宋_GB2312" w:eastAsia="仿宋_GB2312"/>
          <w:color w:val="000000"/>
          <w:sz w:val="32"/>
          <w:szCs w:val="32"/>
        </w:rPr>
        <w:t>预警申报所涉产品、</w:t>
      </w:r>
      <w:r>
        <w:rPr>
          <w:rFonts w:ascii="仿宋_GB2312" w:eastAsia="仿宋_GB2312"/>
          <w:color w:val="000000"/>
          <w:sz w:val="32"/>
          <w:szCs w:val="32"/>
        </w:rPr>
        <w:t>品牌</w:t>
      </w:r>
      <w:r>
        <w:rPr>
          <w:rFonts w:hint="eastAsia" w:ascii="仿宋_GB2312" w:eastAsia="仿宋_GB2312"/>
          <w:color w:val="000000"/>
          <w:sz w:val="32"/>
          <w:szCs w:val="32"/>
        </w:rPr>
        <w:t>的海外参展邀请函或出口证明材料、产品出口计划；</w:t>
      </w:r>
    </w:p>
    <w:p w14:paraId="31E4D28C">
      <w:pPr>
        <w:spacing w:after="0" w:line="579" w:lineRule="exact"/>
        <w:ind w:firstLine="640" w:firstLineChars="200"/>
        <w:rPr>
          <w:rFonts w:ascii="仿宋_GB2312" w:eastAsia="仿宋_GB2312"/>
          <w:color w:val="000000"/>
          <w:sz w:val="32"/>
          <w:szCs w:val="32"/>
        </w:rPr>
      </w:pPr>
      <w:r>
        <w:rPr>
          <w:rFonts w:hint="eastAsia" w:ascii="仿宋_GB2312" w:eastAsia="仿宋_GB2312"/>
          <w:color w:val="000000"/>
          <w:sz w:val="32"/>
          <w:szCs w:val="32"/>
        </w:rPr>
        <w:t>5</w:t>
      </w:r>
      <w:r>
        <w:rPr>
          <w:rFonts w:ascii="仿宋_GB2312" w:eastAsia="仿宋_GB2312"/>
          <w:color w:val="000000"/>
          <w:sz w:val="32"/>
          <w:szCs w:val="32"/>
        </w:rPr>
        <w:t>.</w:t>
      </w:r>
      <w:r>
        <w:rPr>
          <w:rFonts w:hint="eastAsia" w:ascii="仿宋_GB2312" w:eastAsia="仿宋_GB2312"/>
          <w:color w:val="000000"/>
          <w:sz w:val="32"/>
          <w:szCs w:val="32"/>
        </w:rPr>
        <w:t>预警申报所涉申报人专利、</w:t>
      </w:r>
      <w:r>
        <w:rPr>
          <w:rFonts w:ascii="仿宋_GB2312" w:eastAsia="仿宋_GB2312"/>
          <w:color w:val="000000"/>
          <w:sz w:val="32"/>
          <w:szCs w:val="32"/>
        </w:rPr>
        <w:t>商标</w:t>
      </w:r>
      <w:r>
        <w:rPr>
          <w:rFonts w:hint="eastAsia" w:ascii="仿宋_GB2312" w:eastAsia="仿宋_GB2312"/>
          <w:color w:val="000000"/>
          <w:sz w:val="32"/>
          <w:szCs w:val="32"/>
        </w:rPr>
        <w:t>的相关文书</w:t>
      </w:r>
      <w:r>
        <w:rPr>
          <w:rFonts w:ascii="仿宋_GB2312" w:eastAsia="仿宋_GB2312"/>
          <w:color w:val="000000"/>
          <w:sz w:val="32"/>
          <w:szCs w:val="32"/>
        </w:rPr>
        <w:t>等</w:t>
      </w:r>
      <w:r>
        <w:rPr>
          <w:rFonts w:hint="eastAsia" w:ascii="仿宋_GB2312" w:eastAsia="仿宋_GB2312"/>
          <w:color w:val="000000"/>
          <w:sz w:val="32"/>
          <w:szCs w:val="32"/>
        </w:rPr>
        <w:t>，专利、商标海外布局情况；</w:t>
      </w:r>
    </w:p>
    <w:p w14:paraId="326E2059">
      <w:pPr>
        <w:spacing w:after="0" w:line="579" w:lineRule="exact"/>
        <w:ind w:firstLine="640" w:firstLineChars="200"/>
        <w:rPr>
          <w:rFonts w:ascii="仿宋_GB2312" w:eastAsia="仿宋_GB2312"/>
          <w:color w:val="000000"/>
          <w:sz w:val="32"/>
          <w:szCs w:val="32"/>
        </w:rPr>
      </w:pPr>
      <w:r>
        <w:rPr>
          <w:rFonts w:hint="eastAsia" w:ascii="仿宋_GB2312" w:eastAsia="仿宋_GB2312"/>
          <w:color w:val="000000"/>
          <w:sz w:val="32"/>
          <w:szCs w:val="32"/>
        </w:rPr>
        <w:t>6</w:t>
      </w:r>
      <w:r>
        <w:rPr>
          <w:rFonts w:ascii="仿宋_GB2312" w:eastAsia="仿宋_GB2312"/>
          <w:color w:val="000000"/>
          <w:sz w:val="32"/>
          <w:szCs w:val="32"/>
        </w:rPr>
        <w:t>.</w:t>
      </w:r>
      <w:r>
        <w:rPr>
          <w:rFonts w:hint="eastAsia" w:ascii="仿宋_GB2312" w:eastAsia="仿宋_GB2312"/>
          <w:color w:val="000000"/>
          <w:sz w:val="32"/>
          <w:szCs w:val="32"/>
        </w:rPr>
        <w:t>与申报相关的其他证明材料。</w:t>
      </w:r>
    </w:p>
    <w:p w14:paraId="45DBC7DB">
      <w:pPr>
        <w:spacing w:after="0" w:line="579" w:lineRule="exact"/>
        <w:ind w:firstLine="640" w:firstLineChars="200"/>
        <w:rPr>
          <w:rFonts w:ascii="仿宋_GB2312" w:eastAsia="仿宋_GB2312"/>
          <w:color w:val="000000"/>
          <w:sz w:val="32"/>
          <w:szCs w:val="32"/>
        </w:rPr>
      </w:pPr>
      <w:r>
        <w:rPr>
          <w:rFonts w:hint="eastAsia" w:ascii="仿宋_GB2312" w:eastAsia="仿宋_GB2312"/>
          <w:color w:val="000000"/>
          <w:sz w:val="32"/>
          <w:szCs w:val="32"/>
        </w:rPr>
        <w:t>申报材料须全面、真实、精练，纸质件封面加盖申报单位公章。</w:t>
      </w:r>
    </w:p>
    <w:p w14:paraId="1B8EE804">
      <w:pPr>
        <w:spacing w:after="0" w:line="579" w:lineRule="exact"/>
        <w:ind w:firstLine="640" w:firstLineChars="200"/>
        <w:rPr>
          <w:rFonts w:ascii="仿宋_GB2312" w:eastAsia="仿宋_GB2312"/>
          <w:color w:val="000000"/>
          <w:sz w:val="32"/>
          <w:szCs w:val="32"/>
        </w:rPr>
      </w:pPr>
      <w:r>
        <w:rPr>
          <w:rFonts w:hint="eastAsia" w:ascii="仿宋_GB2312" w:eastAsia="仿宋_GB2312"/>
          <w:color w:val="000000"/>
          <w:sz w:val="32"/>
          <w:szCs w:val="32"/>
        </w:rPr>
        <w:t xml:space="preserve">联系人：市市场监督管理局（知识产权局）知识产权保护处 </w:t>
      </w:r>
      <w:r>
        <w:rPr>
          <w:rFonts w:ascii="仿宋_GB2312" w:eastAsia="仿宋_GB2312"/>
          <w:color w:val="000000"/>
          <w:sz w:val="32"/>
          <w:szCs w:val="32"/>
        </w:rPr>
        <w:t xml:space="preserve"> </w:t>
      </w:r>
      <w:r>
        <w:rPr>
          <w:rFonts w:hint="eastAsia" w:ascii="仿宋_GB2312" w:eastAsia="仿宋_GB2312"/>
          <w:color w:val="000000"/>
          <w:sz w:val="32"/>
          <w:szCs w:val="32"/>
        </w:rPr>
        <w:t>周馨雨，邮箱：</w:t>
      </w:r>
      <w:r>
        <w:fldChar w:fldCharType="begin"/>
      </w:r>
      <w:r>
        <w:instrText xml:space="preserve"> HYPERLINK "mailto:zscqbhc@scjg.suzhou.gov.cn" </w:instrText>
      </w:r>
      <w:r>
        <w:fldChar w:fldCharType="separate"/>
      </w:r>
      <w:r>
        <w:rPr>
          <w:rStyle w:val="4"/>
          <w:rFonts w:ascii="仿宋_GB2312" w:eastAsia="仿宋_GB2312"/>
          <w:color w:val="000000"/>
          <w:sz w:val="32"/>
          <w:szCs w:val="32"/>
          <w:u w:val="none"/>
        </w:rPr>
        <w:t>zscqbhc@scjg.suzhou.gov.cn</w:t>
      </w:r>
      <w:r>
        <w:rPr>
          <w:rStyle w:val="4"/>
          <w:rFonts w:ascii="仿宋_GB2312" w:eastAsia="仿宋_GB2312"/>
          <w:color w:val="000000"/>
          <w:sz w:val="32"/>
          <w:szCs w:val="32"/>
          <w:u w:val="none"/>
        </w:rPr>
        <w:fldChar w:fldCharType="end"/>
      </w:r>
      <w:r>
        <w:rPr>
          <w:rFonts w:hint="eastAsia" w:ascii="仿宋_GB2312" w:eastAsia="仿宋_GB2312"/>
          <w:color w:val="000000"/>
          <w:sz w:val="32"/>
          <w:szCs w:val="32"/>
        </w:rPr>
        <w:t>，联系电话：0</w:t>
      </w:r>
      <w:r>
        <w:rPr>
          <w:rFonts w:ascii="仿宋_GB2312" w:eastAsia="仿宋_GB2312"/>
          <w:color w:val="000000"/>
          <w:sz w:val="32"/>
          <w:szCs w:val="32"/>
        </w:rPr>
        <w:t>512</w:t>
      </w:r>
      <w:r>
        <w:rPr>
          <w:rFonts w:hint="eastAsia" w:ascii="仿宋_GB2312" w:eastAsia="仿宋_GB2312"/>
          <w:color w:val="000000"/>
          <w:sz w:val="32"/>
          <w:szCs w:val="32"/>
        </w:rPr>
        <w:t>-</w:t>
      </w:r>
      <w:r>
        <w:rPr>
          <w:rFonts w:ascii="仿宋_GB2312" w:eastAsia="仿宋_GB2312"/>
          <w:color w:val="000000"/>
          <w:sz w:val="32"/>
          <w:szCs w:val="32"/>
        </w:rPr>
        <w:t>698213</w:t>
      </w:r>
      <w:r>
        <w:rPr>
          <w:rFonts w:hint="eastAsia" w:ascii="仿宋_GB2312" w:eastAsia="仿宋_GB2312"/>
          <w:color w:val="000000"/>
          <w:sz w:val="32"/>
          <w:szCs w:val="32"/>
        </w:rPr>
        <w:t>26。</w:t>
      </w:r>
    </w:p>
    <w:p w14:paraId="4FC486BE"/>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3000509000000000000"/>
    <w:charset w:val="86"/>
    <w:family w:val="script"/>
    <w:pitch w:val="default"/>
    <w:sig w:usb0="00000001" w:usb1="080E0000" w:usb2="00000000" w:usb3="00000000" w:csb0="00040000" w:csb1="00000000"/>
  </w:font>
  <w:font w:name="仿宋_GB2312">
    <w:panose1 w:val="02010609060101010101"/>
    <w:charset w:val="86"/>
    <w:family w:val="modern"/>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 w:name="PMingLiU">
    <w:altName w:val="Microsoft JhengHei UI"/>
    <w:panose1 w:val="02010601000101010101"/>
    <w:charset w:val="88"/>
    <w:family w:val="roman"/>
    <w:pitch w:val="default"/>
    <w:sig w:usb0="00000000" w:usb1="00000000" w:usb2="00000016" w:usb3="00000000" w:csb0="00100001" w:csb1="00000000"/>
  </w:font>
  <w:font w:name="Microsoft JhengHei UI">
    <w:panose1 w:val="020B0604030504040204"/>
    <w:charset w:val="88"/>
    <w:family w:val="auto"/>
    <w:pitch w:val="default"/>
    <w:sig w:usb0="000002A7" w:usb1="28CF4400" w:usb2="00000016" w:usb3="00000000" w:csb0="00100009" w:csb1="00000000"/>
  </w:font>
  <w:font w:name="楷体_GB2312">
    <w:panose1 w:val="02010609060101010101"/>
    <w:charset w:val="86"/>
    <w:family w:val="modern"/>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8" w:lineRule="auto"/>
      </w:pPr>
      <w:r>
        <w:separator/>
      </w:r>
    </w:p>
  </w:footnote>
  <w:footnote w:type="continuationSeparator" w:id="1">
    <w:p>
      <w:pPr>
        <w:spacing w:before="0" w:after="0" w:line="278"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0E87162"/>
    <w:rsid w:val="50E87162"/>
    <w:rsid w:val="54824009"/>
    <w:rsid w:val="6AEC122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278" w:lineRule="auto"/>
      <w:jc w:val="both"/>
    </w:pPr>
    <w:rPr>
      <w:rFonts w:ascii="Calibri" w:hAnsi="Calibri" w:eastAsia="宋体" w:cs="Times New Roman"/>
      <w:kern w:val="2"/>
      <w:sz w:val="21"/>
      <w:szCs w:val="22"/>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character" w:styleId="4">
    <w:name w:val="Hyperlink"/>
    <w:qFormat/>
    <w:uiPriority w:val="0"/>
    <w:rPr>
      <w:rFonts w:ascii="Calibri" w:hAnsi="Calibri" w:eastAsia="宋体" w:cs="Times New Roman"/>
      <w:color w:val="0000FF"/>
      <w:u w:val="single"/>
    </w:rPr>
  </w:style>
  <w:style w:type="paragraph" w:customStyle="1" w:styleId="5">
    <w:name w:val="Body text|1"/>
    <w:basedOn w:val="1"/>
    <w:qFormat/>
    <w:uiPriority w:val="0"/>
    <w:pPr>
      <w:spacing w:line="451" w:lineRule="auto"/>
      <w:ind w:firstLine="400"/>
    </w:pPr>
    <w:rPr>
      <w:rFonts w:ascii="宋体" w:hAnsi="宋体" w:cs="宋体"/>
      <w:sz w:val="28"/>
      <w:szCs w:val="28"/>
      <w:lang w:val="zh-TW" w:eastAsia="zh-TW" w:bidi="zh-TW"/>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1952</Words>
  <Characters>2074</Characters>
  <Lines>0</Lines>
  <Paragraphs>0</Paragraphs>
  <TotalTime>0</TotalTime>
  <ScaleCrop>false</ScaleCrop>
  <LinksUpToDate>false</LinksUpToDate>
  <CharactersWithSpaces>2077</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2026-02-03T09:19:00Z</dcterms:created>
  <dc:creator>王暐昱</dc:creator>
  <cp:lastModifiedBy>小春</cp:lastModifiedBy>
  <dcterms:modified xsi:type="dcterms:W3CDTF">2026-02-04T02:29:25Z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2DE40F66072546E0A314A8EF85D866CA_11</vt:lpwstr>
  </property>
  <property fmtid="{D5CDD505-2E9C-101B-9397-08002B2CF9AE}" pid="4" name="KSOTemplateDocerSaveRecord">
    <vt:lpwstr>eyJoZGlkIjoiYzE5MmQ4MWU4MDQ5NzVmMTY5NDY0NThiZDQyZjc3NTIiLCJ1c2VySWQiOiIyNjY2NDU1MTQifQ==</vt:lpwstr>
  </property>
</Properties>
</file>